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897" w:rsidRPr="00B80897" w:rsidRDefault="00B80897" w:rsidP="00B80897">
      <w:pPr>
        <w:outlineLvl w:val="0"/>
        <w:rPr>
          <w:rFonts w:ascii="Arial" w:eastAsia="Calibri" w:hAnsi="Arial" w:cs="Times New Roman"/>
          <w:b/>
          <w:szCs w:val="24"/>
        </w:rPr>
      </w:pPr>
      <w:r w:rsidRPr="00B80897">
        <w:rPr>
          <w:rFonts w:ascii="Arial" w:eastAsia="Calibri" w:hAnsi="Arial" w:cs="Times New Roman"/>
          <w:b/>
          <w:szCs w:val="24"/>
        </w:rPr>
        <w:t>SU</w:t>
      </w:r>
      <w:bookmarkStart w:id="0" w:name="_GoBack"/>
      <w:bookmarkEnd w:id="0"/>
      <w:r w:rsidRPr="00B80897">
        <w:rPr>
          <w:rFonts w:ascii="Arial" w:eastAsia="Calibri" w:hAnsi="Arial" w:cs="Times New Roman"/>
          <w:b/>
          <w:szCs w:val="24"/>
        </w:rPr>
        <w:t>PPLEMENTARY DATA</w:t>
      </w:r>
    </w:p>
    <w:p w:rsidR="00B80897" w:rsidRPr="00B80897" w:rsidRDefault="00B80897" w:rsidP="00B80897">
      <w:pPr>
        <w:spacing w:before="240" w:after="120"/>
        <w:outlineLvl w:val="0"/>
        <w:rPr>
          <w:rFonts w:ascii="Arial" w:eastAsia="Times New Roman" w:hAnsi="Arial" w:cs="Times New Roman"/>
          <w:b/>
          <w:bCs/>
          <w:color w:val="000000"/>
          <w:kern w:val="36"/>
          <w:szCs w:val="24"/>
        </w:rPr>
      </w:pPr>
      <w:bookmarkStart w:id="1" w:name="_Toc406679172"/>
      <w:r w:rsidRPr="00B80897">
        <w:rPr>
          <w:rFonts w:ascii="Arial" w:eastAsia="Times New Roman" w:hAnsi="Arial" w:cs="Times New Roman"/>
          <w:b/>
          <w:bCs/>
          <w:color w:val="000000"/>
          <w:kern w:val="36"/>
          <w:szCs w:val="24"/>
        </w:rPr>
        <w:t>Study Investigators</w:t>
      </w:r>
    </w:p>
    <w:p w:rsidR="00B80897" w:rsidRPr="00B80897" w:rsidRDefault="00B80897" w:rsidP="00B80897">
      <w:pPr>
        <w:spacing w:before="240" w:after="120"/>
        <w:outlineLvl w:val="0"/>
        <w:rPr>
          <w:rFonts w:ascii="Arial" w:eastAsia="Times New Roman" w:hAnsi="Arial" w:cs="Times New Roman"/>
          <w:b/>
          <w:bCs/>
          <w:color w:val="000000"/>
          <w:kern w:val="36"/>
          <w:szCs w:val="24"/>
        </w:rPr>
      </w:pPr>
      <w:r w:rsidRPr="00B80897">
        <w:rPr>
          <w:rFonts w:ascii="Arial" w:eastAsia="Times New Roman" w:hAnsi="Arial" w:cs="Times New Roman"/>
          <w:b/>
          <w:bCs/>
          <w:color w:val="000000"/>
          <w:kern w:val="36"/>
          <w:szCs w:val="24"/>
        </w:rPr>
        <w:t>Supplementary Study Methods</w:t>
      </w:r>
    </w:p>
    <w:p w:rsidR="00B80897" w:rsidRPr="00B80897" w:rsidRDefault="00B80897" w:rsidP="00B80897">
      <w:pPr>
        <w:spacing w:before="240" w:after="120"/>
        <w:outlineLvl w:val="0"/>
        <w:rPr>
          <w:rFonts w:ascii="Arial" w:eastAsia="Times New Roman" w:hAnsi="Arial" w:cs="Times New Roman"/>
          <w:b/>
          <w:bCs/>
          <w:color w:val="000000"/>
          <w:kern w:val="36"/>
          <w:szCs w:val="24"/>
        </w:rPr>
      </w:pPr>
      <w:r w:rsidRPr="00B80897">
        <w:rPr>
          <w:rFonts w:ascii="Arial" w:eastAsia="Times New Roman" w:hAnsi="Arial" w:cs="Times New Roman"/>
          <w:b/>
          <w:bCs/>
          <w:color w:val="000000"/>
          <w:kern w:val="36"/>
          <w:szCs w:val="24"/>
        </w:rPr>
        <w:t xml:space="preserve">Table S1. </w:t>
      </w:r>
      <w:bookmarkEnd w:id="1"/>
      <w:r w:rsidRPr="00B80897">
        <w:rPr>
          <w:rFonts w:ascii="Arial" w:eastAsia="Times New Roman" w:hAnsi="Arial" w:cs="Times New Roman"/>
          <w:b/>
          <w:bCs/>
          <w:color w:val="000000"/>
          <w:kern w:val="36"/>
          <w:szCs w:val="24"/>
        </w:rPr>
        <w:t>DRC Assessments of Response</w:t>
      </w:r>
    </w:p>
    <w:p w:rsidR="00B80897" w:rsidRPr="00B80897" w:rsidRDefault="00B80897" w:rsidP="00B80897">
      <w:pPr>
        <w:spacing w:before="240" w:after="120"/>
        <w:outlineLvl w:val="0"/>
        <w:rPr>
          <w:rFonts w:ascii="Arial" w:eastAsia="Times New Roman" w:hAnsi="Arial" w:cs="Times New Roman"/>
          <w:b/>
          <w:bCs/>
          <w:color w:val="000000"/>
          <w:kern w:val="36"/>
          <w:szCs w:val="24"/>
        </w:rPr>
      </w:pPr>
      <w:bookmarkStart w:id="2" w:name="_Toc406679174"/>
      <w:r w:rsidRPr="00B80897">
        <w:rPr>
          <w:rFonts w:ascii="Arial" w:eastAsia="Times New Roman" w:hAnsi="Arial" w:cs="Times New Roman"/>
          <w:b/>
          <w:bCs/>
          <w:color w:val="000000"/>
          <w:kern w:val="36"/>
          <w:szCs w:val="24"/>
        </w:rPr>
        <w:t>Figure S1. Overall response rate at EOIVT versus APACHE II Score</w:t>
      </w:r>
    </w:p>
    <w:p w:rsidR="00B80897" w:rsidRPr="00B80897" w:rsidRDefault="00B80897" w:rsidP="00B80897">
      <w:pPr>
        <w:rPr>
          <w:rFonts w:ascii="Arial" w:eastAsia="Calibri" w:hAnsi="Arial" w:cs="Times New Roman"/>
          <w:szCs w:val="24"/>
        </w:rPr>
      </w:pPr>
      <w:r w:rsidRPr="00B80897">
        <w:rPr>
          <w:rFonts w:ascii="Arial" w:eastAsia="Calibri" w:hAnsi="Arial" w:cs="Times New Roman"/>
          <w:b/>
          <w:szCs w:val="24"/>
        </w:rPr>
        <w:t xml:space="preserve">Figure S2. </w:t>
      </w:r>
      <w:r w:rsidRPr="00B80897">
        <w:rPr>
          <w:rFonts w:ascii="Arial" w:eastAsia="Calibri" w:hAnsi="Arial" w:cs="Times New Roman"/>
          <w:bCs/>
          <w:szCs w:val="24"/>
          <w:lang w:val="en-GB"/>
        </w:rPr>
        <w:t>Time to First Confirmed Negative Blood Culture (mITT patients with candidemia only)</w:t>
      </w:r>
    </w:p>
    <w:p w:rsidR="00B80897" w:rsidRPr="00B80897" w:rsidRDefault="00B80897" w:rsidP="00B80897">
      <w:pPr>
        <w:spacing w:before="240" w:after="120"/>
        <w:outlineLvl w:val="0"/>
        <w:rPr>
          <w:rFonts w:ascii="Arial" w:eastAsia="Times New Roman" w:hAnsi="Arial" w:cs="Times New Roman"/>
          <w:b/>
          <w:bCs/>
          <w:color w:val="000000"/>
          <w:kern w:val="36"/>
          <w:szCs w:val="24"/>
        </w:rPr>
      </w:pPr>
      <w:r w:rsidRPr="00B80897">
        <w:rPr>
          <w:rFonts w:ascii="Arial" w:eastAsia="Times New Roman" w:hAnsi="Arial" w:cs="Times New Roman"/>
          <w:b/>
          <w:bCs/>
          <w:color w:val="000000"/>
          <w:kern w:val="36"/>
          <w:szCs w:val="24"/>
        </w:rPr>
        <w:t>Table S2. MIC Values for Baseline Candida spp. Isolates per CLSI Standard (mITT Population)</w:t>
      </w:r>
    </w:p>
    <w:p w:rsidR="00B80897" w:rsidRPr="00B80897" w:rsidRDefault="00B80897" w:rsidP="00B80897">
      <w:pPr>
        <w:spacing w:before="240" w:after="120"/>
        <w:outlineLvl w:val="0"/>
        <w:rPr>
          <w:rFonts w:ascii="Arial" w:eastAsia="Times New Roman" w:hAnsi="Arial" w:cs="Times New Roman"/>
          <w:b/>
          <w:bCs/>
          <w:color w:val="000000"/>
          <w:kern w:val="36"/>
          <w:szCs w:val="24"/>
        </w:rPr>
      </w:pPr>
      <w:r w:rsidRPr="00B80897">
        <w:rPr>
          <w:rFonts w:ascii="Arial" w:eastAsia="Times New Roman" w:hAnsi="Arial" w:cs="Times New Roman"/>
          <w:b/>
          <w:bCs/>
          <w:color w:val="000000"/>
          <w:kern w:val="36"/>
          <w:szCs w:val="24"/>
        </w:rPr>
        <w:t xml:space="preserve">Table S3. </w:t>
      </w:r>
      <w:bookmarkEnd w:id="2"/>
      <w:r w:rsidRPr="00B80897">
        <w:rPr>
          <w:rFonts w:ascii="Arial" w:eastAsia="Times New Roman" w:hAnsi="Arial" w:cs="Times New Roman"/>
          <w:b/>
          <w:bCs/>
          <w:color w:val="000000"/>
          <w:kern w:val="36"/>
          <w:szCs w:val="24"/>
        </w:rPr>
        <w:t>MIC Values for Baseline Candida spp. Isolates per EUCAST Standard (mITT Population)</w:t>
      </w:r>
    </w:p>
    <w:p w:rsidR="00B80897" w:rsidRPr="00B80897" w:rsidRDefault="00B80897" w:rsidP="00B80897">
      <w:pPr>
        <w:spacing w:before="240" w:after="120"/>
        <w:outlineLvl w:val="0"/>
        <w:rPr>
          <w:rFonts w:ascii="Arial" w:eastAsia="Times New Roman" w:hAnsi="Arial" w:cs="Times New Roman"/>
          <w:b/>
          <w:bCs/>
          <w:color w:val="000000"/>
          <w:kern w:val="36"/>
          <w:szCs w:val="24"/>
        </w:rPr>
      </w:pPr>
      <w:r w:rsidRPr="00B80897">
        <w:rPr>
          <w:rFonts w:ascii="Arial" w:eastAsia="Times New Roman" w:hAnsi="Arial" w:cs="Times New Roman"/>
          <w:b/>
          <w:bCs/>
          <w:color w:val="000000"/>
          <w:kern w:val="36"/>
          <w:szCs w:val="24"/>
        </w:rPr>
        <w:t>Table S4. Breakthrough and Recurrent Fungal Infections</w:t>
      </w:r>
    </w:p>
    <w:p w:rsidR="00B80897" w:rsidRPr="00B80897" w:rsidRDefault="00B80897" w:rsidP="00B80897">
      <w:pPr>
        <w:spacing w:before="240" w:after="120"/>
        <w:outlineLvl w:val="0"/>
        <w:rPr>
          <w:rFonts w:ascii="Arial" w:eastAsia="Times New Roman" w:hAnsi="Arial" w:cs="Times New Roman"/>
          <w:b/>
          <w:bCs/>
          <w:color w:val="000000"/>
          <w:kern w:val="36"/>
          <w:szCs w:val="24"/>
        </w:rPr>
      </w:pPr>
      <w:bookmarkStart w:id="3" w:name="_Toc406679173"/>
      <w:r w:rsidRPr="00B80897">
        <w:rPr>
          <w:rFonts w:ascii="Arial" w:eastAsia="Times New Roman" w:hAnsi="Arial" w:cs="Times New Roman"/>
          <w:b/>
          <w:bCs/>
          <w:color w:val="000000"/>
          <w:kern w:val="36"/>
          <w:szCs w:val="24"/>
        </w:rPr>
        <w:t xml:space="preserve">Table S5. </w:t>
      </w:r>
      <w:bookmarkEnd w:id="3"/>
      <w:r w:rsidRPr="00B80897">
        <w:rPr>
          <w:rFonts w:ascii="Arial" w:eastAsia="Times New Roman" w:hAnsi="Arial" w:cs="Times New Roman"/>
          <w:b/>
          <w:bCs/>
          <w:color w:val="000000"/>
          <w:kern w:val="36"/>
          <w:szCs w:val="24"/>
        </w:rPr>
        <w:t>Response to Treatment in the mITT Population by Baseline Catheter Status</w:t>
      </w:r>
    </w:p>
    <w:p w:rsidR="00B80897" w:rsidRPr="00B80897" w:rsidRDefault="00B80897" w:rsidP="00B80897">
      <w:pPr>
        <w:spacing w:after="120" w:line="360" w:lineRule="auto"/>
        <w:jc w:val="both"/>
        <w:rPr>
          <w:rFonts w:ascii="Arial" w:eastAsia="Calibri" w:hAnsi="Arial" w:cs="Arial"/>
          <w:sz w:val="18"/>
          <w:lang w:val="en-GB"/>
        </w:rPr>
      </w:pPr>
      <w:proofErr w:type="gramStart"/>
      <w:r w:rsidRPr="00B80897">
        <w:rPr>
          <w:rFonts w:ascii="Arial" w:eastAsia="Calibri" w:hAnsi="Arial" w:cs="Arial"/>
          <w:b/>
          <w:szCs w:val="24"/>
        </w:rPr>
        <w:t>TABLE S6.</w:t>
      </w:r>
      <w:proofErr w:type="gramEnd"/>
      <w:r w:rsidRPr="00B80897">
        <w:rPr>
          <w:rFonts w:ascii="Arial" w:eastAsia="Calibri" w:hAnsi="Arial" w:cs="Arial"/>
          <w:szCs w:val="24"/>
        </w:rPr>
        <w:t xml:space="preserve"> </w:t>
      </w:r>
      <w:r w:rsidRPr="00B80897">
        <w:rPr>
          <w:rFonts w:ascii="Arial" w:eastAsia="Calibri" w:hAnsi="Arial" w:cs="Arial"/>
          <w:bCs/>
          <w:szCs w:val="24"/>
        </w:rPr>
        <w:t>Treatment-Emergent Adverse Events (</w:t>
      </w:r>
      <w:r w:rsidRPr="00B80897">
        <w:rPr>
          <w:rFonts w:ascii="Arial" w:eastAsia="Calibri" w:hAnsi="Arial" w:cs="Arial"/>
          <w:sz w:val="24"/>
          <w:szCs w:val="24"/>
        </w:rPr>
        <w:t>MedDRA V12.1</w:t>
      </w:r>
      <w:r w:rsidRPr="00B80897">
        <w:rPr>
          <w:rFonts w:ascii="Arial" w:eastAsia="Calibri" w:hAnsi="Arial" w:cs="Arial"/>
          <w:bCs/>
          <w:szCs w:val="24"/>
        </w:rPr>
        <w:t>) by System Organ Class</w:t>
      </w:r>
    </w:p>
    <w:p w:rsidR="00B80897" w:rsidRPr="00B80897" w:rsidRDefault="00B80897" w:rsidP="00B80897">
      <w:pPr>
        <w:spacing w:before="240" w:after="120"/>
        <w:outlineLvl w:val="0"/>
        <w:rPr>
          <w:rFonts w:ascii="Arial" w:eastAsia="Times New Roman" w:hAnsi="Arial" w:cs="Times New Roman"/>
          <w:b/>
          <w:bCs/>
          <w:color w:val="000000"/>
          <w:kern w:val="36"/>
          <w:szCs w:val="24"/>
        </w:rPr>
      </w:pPr>
      <w:r w:rsidRPr="00B80897">
        <w:rPr>
          <w:rFonts w:ascii="Arial" w:eastAsia="Times New Roman" w:hAnsi="Arial" w:cs="Times New Roman"/>
          <w:b/>
          <w:bCs/>
          <w:color w:val="000000"/>
          <w:kern w:val="36"/>
          <w:szCs w:val="24"/>
        </w:rPr>
        <w:t>Table S7. Overview of Treatment-Emergent Adverse Events (MedDRA V12.1) and Death in Patients that Received at Least One Oral Dose</w:t>
      </w:r>
    </w:p>
    <w:p w:rsidR="00B80897" w:rsidRPr="00B80897" w:rsidRDefault="00B80897" w:rsidP="00B80897">
      <w:pPr>
        <w:rPr>
          <w:rFonts w:ascii="Arial" w:eastAsia="Calibri" w:hAnsi="Arial" w:cs="Times New Roman"/>
          <w:b/>
          <w:szCs w:val="24"/>
        </w:rPr>
      </w:pPr>
    </w:p>
    <w:p w:rsidR="00B80897" w:rsidRPr="00B80897" w:rsidRDefault="00B80897" w:rsidP="00B80897">
      <w:pPr>
        <w:outlineLvl w:val="0"/>
        <w:rPr>
          <w:rFonts w:ascii="Arial" w:eastAsia="Calibri" w:hAnsi="Arial" w:cs="Times New Roman"/>
          <w:b/>
          <w:color w:val="000000"/>
          <w:szCs w:val="24"/>
        </w:rPr>
      </w:pPr>
      <w:r w:rsidRPr="00B80897">
        <w:rPr>
          <w:rFonts w:ascii="Arial" w:eastAsia="Calibri" w:hAnsi="Arial" w:cs="Times New Roman"/>
          <w:b/>
          <w:color w:val="000000"/>
          <w:szCs w:val="24"/>
        </w:rPr>
        <w:t>SUPPLEMENTAL MATERIALS</w:t>
      </w:r>
    </w:p>
    <w:p w:rsidR="00B80897" w:rsidRPr="00B80897" w:rsidRDefault="00B80897" w:rsidP="00B80897">
      <w:pPr>
        <w:outlineLvl w:val="0"/>
        <w:rPr>
          <w:rFonts w:ascii="Arial" w:eastAsia="Calibri" w:hAnsi="Arial" w:cs="Times New Roman"/>
          <w:b/>
          <w:bCs/>
          <w:color w:val="000000"/>
          <w:szCs w:val="24"/>
        </w:rPr>
      </w:pPr>
      <w:r w:rsidRPr="00B80897">
        <w:rPr>
          <w:rFonts w:ascii="Arial" w:eastAsia="Calibri" w:hAnsi="Arial" w:cs="Times New Roman"/>
          <w:b/>
          <w:bCs/>
          <w:color w:val="000000"/>
          <w:szCs w:val="24"/>
        </w:rPr>
        <w:t>1.</w:t>
      </w:r>
      <w:r w:rsidRPr="00B80897">
        <w:rPr>
          <w:rFonts w:ascii="Arial" w:eastAsia="Calibri" w:hAnsi="Arial" w:cs="Times New Roman"/>
          <w:b/>
          <w:bCs/>
          <w:color w:val="000000"/>
          <w:szCs w:val="24"/>
        </w:rPr>
        <w:tab/>
      </w:r>
      <w:r w:rsidRPr="00B80897">
        <w:rPr>
          <w:rFonts w:ascii="Arial" w:eastAsia="Calibri" w:hAnsi="Arial" w:cs="Times New Roman"/>
          <w:b/>
          <w:color w:val="000000"/>
          <w:szCs w:val="24"/>
        </w:rPr>
        <w:t>STUDY INVESTIGATORS</w:t>
      </w:r>
    </w:p>
    <w:p w:rsidR="00B80897" w:rsidRPr="00B80897" w:rsidRDefault="00B80897" w:rsidP="00B80897">
      <w:pPr>
        <w:rPr>
          <w:rFonts w:ascii="Arial" w:eastAsia="Calibri" w:hAnsi="Arial" w:cs="Times New Roman"/>
          <w:b/>
          <w:bCs/>
          <w:color w:val="000000"/>
          <w:szCs w:val="24"/>
        </w:rPr>
      </w:pPr>
      <w:r w:rsidRPr="00B80897">
        <w:rPr>
          <w:rFonts w:ascii="Arial" w:eastAsia="Calibri" w:hAnsi="Arial" w:cs="Times New Roman"/>
          <w:bCs/>
          <w:szCs w:val="24"/>
          <w:lang w:val="fr-FR"/>
        </w:rPr>
        <w:t>ACTIVE study group members included:</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lastRenderedPageBreak/>
        <w:t>Argentina: Javier Altclas, German Ambasch, Liliana Clara, Miguel Dictar, Abel Jasovich, Rosanna Jordan, Claudia Rodriquez, Gabriel Levy Hara</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Australia: Geoffrey Playford, David McGechie, Sharon Chen, Laurence Catley</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Belgium: Mickael Aoun, Herbert Spapen, Jan De Waele (replaced Johan Decruyenaere), Eric Van Wijngaerden, Frederique Jacobs</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Brazil: Marcio Nucci, Flavio de Queir Telles Filho, Carlos Henrique Barrios, Arnaldo Clovis, Clovis Arns da Cunha, Alessandro Comarun Pasqualotto (replaced Teresa Sukiennik), Maria Eugenis Valias Didier, Carlos Starling, Antonio Frire, Alexandre Vargas Schwarzbold</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Canada: Gary Garber, Coleman Rotstein (replaced James Brunton), Michel Laverdiere, Shariq Haider (replaced Coleman Rotstein), Gerald Evans, Deepali Kumar</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Chile: Carolina Chahin, Martin Lasso, Rodrigo Blamey (replaced Alexis Diomedi), Liping Zhu (replaced Yingyuan Zhu)</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 xml:space="preserve">China: Ting Liu </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France: Raoul Herbrecht, Bruno Levy</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Germany: Agata Mikolajewska (replaced Markus Ruhnke), Martin Hoffmann (replaced Peter Kujath), Dierk Schmitt, Armin Sablotzki, Winfried Kern, Oliver Cornely, Werner Heinz</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Hungary: Zoltan Gasztonyi, Bela Fulesdi</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India: V. Ramasubramanian, O. Abraham (replaced Mathai Dilip), Subhash K. Todi, John T. Ramapuram (replaced Adhikari Prabha), Deepal Talwar, Raghunadharao Digumarti, Sudha Vidyasagar, Puneet Dhar, Sameer Melinkeri, Omender Singh</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Israel: Allon Moses (replaced Michael Shapira), Bibiana Chazan (replaced Raul Raz), Ilana Oren, Galia Rahav, Oritz Yossepowich (replaced Michael Dan), Michal Chowers, Micael Giladi (replaced Ruti Wasserlauf), Jihad Bishara</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lastRenderedPageBreak/>
        <w:t>Italy: Valerio Del Bona (replaced Claudio Bassetti, Matteo Viscoli), Pierluigi Viale, Roberto Stellini (replaced Giampeiro Carosi), Ercole Concia, Giovanni Cassola</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Lebanon: Oussaima Eldbouni (replaced Zuhayr Tabbarath)</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Malaysia: S. Fadilah Abdul Wahid (replaced Chooi Fun- Leong, Hiok Seng)</w:t>
      </w:r>
      <w:proofErr w:type="gramStart"/>
      <w:r w:rsidRPr="00B80897">
        <w:rPr>
          <w:rFonts w:ascii="Arial" w:eastAsia="Calibri" w:hAnsi="Arial" w:cs="Times New Roman"/>
          <w:bCs/>
          <w:color w:val="000000"/>
          <w:szCs w:val="24"/>
        </w:rPr>
        <w:t>,</w:t>
      </w:r>
      <w:proofErr w:type="gramEnd"/>
      <w:r w:rsidRPr="00B80897">
        <w:rPr>
          <w:rFonts w:ascii="Arial" w:eastAsia="Calibri" w:hAnsi="Arial" w:cs="Times New Roman"/>
          <w:bCs/>
          <w:color w:val="000000"/>
          <w:szCs w:val="24"/>
        </w:rPr>
        <w:t xml:space="preserve"> Kian Meng Chang (replaced Kian Meng Chan)</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Mexico: Luis Adrian Rendon-Perez, Juan Jose Morales Reyes, Arturo Galindo Fraga (replaced Angelina Villasis), Alejandro Ortiz Covarrubias</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New Zealand: Graham Mills, Simon Briggs (replaced Mark Thomas)</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 xml:space="preserve">The Philippines: Loreta Zoleta, Myrna Mendoza </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Russian Federation: Galina Kliasova, Natalia Dmitrieva</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Spain: Francisco Alvarez Lerma</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Singapore: Wijaya Limin (replaced Asok Kurup), Ernest Wang</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South Africa: Hannes Van Rensburg</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Switzerland: Christian van Delden (replaced Jorge Garbino)</w:t>
      </w:r>
      <w:proofErr w:type="gramStart"/>
      <w:r w:rsidRPr="00B80897">
        <w:rPr>
          <w:rFonts w:ascii="Arial" w:eastAsia="Calibri" w:hAnsi="Arial" w:cs="Times New Roman"/>
          <w:bCs/>
          <w:color w:val="000000"/>
          <w:szCs w:val="24"/>
        </w:rPr>
        <w:t>,</w:t>
      </w:r>
      <w:proofErr w:type="gramEnd"/>
      <w:r w:rsidRPr="00B80897">
        <w:rPr>
          <w:rFonts w:ascii="Arial" w:eastAsia="Calibri" w:hAnsi="Arial" w:cs="Times New Roman"/>
          <w:bCs/>
          <w:color w:val="000000"/>
          <w:szCs w:val="24"/>
        </w:rPr>
        <w:t xml:space="preserve"> Hugo Sax (replaced Christian Ruef)</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Thailand: Yong Rongrungruang, (replaced Amorn Leelarasamee), Khuanchai Supparatpinyo, Ploenchan Chetchotisakd, Kumthorn Malathum, Sutep Jarurantanasirikul, Wilawam Thipmontree (replaced Yongyurth Jongjirawisan)</w:t>
      </w:r>
    </w:p>
    <w:p w:rsidR="00B80897" w:rsidRPr="00B80897" w:rsidRDefault="00B80897" w:rsidP="00B80897">
      <w:pPr>
        <w:rPr>
          <w:rFonts w:ascii="Arial" w:eastAsia="Calibri" w:hAnsi="Arial" w:cs="Times New Roman"/>
          <w:bCs/>
          <w:color w:val="000000"/>
          <w:szCs w:val="24"/>
        </w:rPr>
      </w:pPr>
      <w:r w:rsidRPr="00B80897">
        <w:rPr>
          <w:rFonts w:ascii="Arial" w:eastAsia="Calibri" w:hAnsi="Arial" w:cs="Times New Roman"/>
          <w:bCs/>
          <w:color w:val="000000"/>
          <w:szCs w:val="24"/>
        </w:rPr>
        <w:t xml:space="preserve">United States: John Baddley (replaced Peter Pappas), Richard Nathan, George Alangaden (replaced Jose Vazquez) Julia Garcia Diaz, Ravi Kamepalli (replaced Roger Stienecker), Joseph Fraiz, Jennifer Daly, James Peacock, Carl Stanholtz (replaced Graeme Forrest), John Pullman, Steven O’Marro, Jorge Parada, George Thompson, Thomas Walsh </w:t>
      </w:r>
    </w:p>
    <w:p w:rsidR="00B80897" w:rsidRPr="00B80897" w:rsidRDefault="00B80897" w:rsidP="00B80897">
      <w:pPr>
        <w:rPr>
          <w:rFonts w:ascii="Arial" w:eastAsia="Calibri" w:hAnsi="Arial" w:cs="Times New Roman"/>
          <w:b/>
          <w:bCs/>
          <w:color w:val="000000"/>
          <w:szCs w:val="24"/>
        </w:rPr>
      </w:pPr>
    </w:p>
    <w:p w:rsidR="00B80897" w:rsidRPr="00B80897" w:rsidRDefault="00B80897" w:rsidP="00B80897">
      <w:pPr>
        <w:spacing w:before="240" w:after="120"/>
        <w:outlineLvl w:val="0"/>
        <w:rPr>
          <w:rFonts w:ascii="Arial" w:eastAsia="Times New Roman" w:hAnsi="Arial" w:cs="Times New Roman"/>
          <w:b/>
          <w:bCs/>
          <w:color w:val="000000"/>
          <w:kern w:val="36"/>
          <w:szCs w:val="24"/>
          <w:lang w:val="en-GB"/>
        </w:rPr>
      </w:pPr>
      <w:r w:rsidRPr="00B80897">
        <w:rPr>
          <w:rFonts w:ascii="Arial" w:eastAsia="Times New Roman" w:hAnsi="Arial" w:cs="Times New Roman"/>
          <w:b/>
          <w:bCs/>
          <w:color w:val="000000"/>
          <w:kern w:val="36"/>
          <w:szCs w:val="24"/>
        </w:rPr>
        <w:t>2.</w:t>
      </w:r>
      <w:r w:rsidRPr="00B80897">
        <w:rPr>
          <w:rFonts w:ascii="Arial" w:eastAsia="Times New Roman" w:hAnsi="Arial" w:cs="Times New Roman"/>
          <w:b/>
          <w:bCs/>
          <w:color w:val="000000"/>
          <w:kern w:val="36"/>
          <w:szCs w:val="24"/>
        </w:rPr>
        <w:tab/>
      </w:r>
      <w:bookmarkStart w:id="4" w:name="_Toc434261395"/>
      <w:r w:rsidRPr="00B80897">
        <w:rPr>
          <w:rFonts w:ascii="Arial" w:eastAsia="Times New Roman" w:hAnsi="Arial" w:cs="Times New Roman"/>
          <w:b/>
          <w:bCs/>
          <w:color w:val="000000"/>
          <w:kern w:val="36"/>
          <w:szCs w:val="24"/>
          <w:lang w:val="en-GB"/>
        </w:rPr>
        <w:t>SUPPLEMENTARY STUDY METHODS</w:t>
      </w:r>
      <w:bookmarkEnd w:id="4"/>
    </w:p>
    <w:p w:rsidR="00B80897" w:rsidRPr="00B80897" w:rsidRDefault="00B80897" w:rsidP="00B80897">
      <w:pPr>
        <w:keepNext/>
        <w:keepLines/>
        <w:spacing w:before="200" w:after="0"/>
        <w:outlineLvl w:val="1"/>
        <w:rPr>
          <w:rFonts w:ascii="Arial" w:eastAsia="MS Gothic" w:hAnsi="Arial" w:cs="Times New Roman"/>
          <w:b/>
          <w:bCs/>
          <w:color w:val="000000"/>
          <w:szCs w:val="24"/>
          <w:lang w:val="en-GB"/>
        </w:rPr>
      </w:pPr>
      <w:bookmarkStart w:id="5" w:name="_Toc434261396"/>
      <w:r w:rsidRPr="00B80897">
        <w:rPr>
          <w:rFonts w:ascii="Arial" w:eastAsia="MS Gothic" w:hAnsi="Arial" w:cs="Times New Roman"/>
          <w:b/>
          <w:bCs/>
          <w:color w:val="000000"/>
          <w:szCs w:val="24"/>
          <w:lang w:val="en-GB"/>
        </w:rPr>
        <w:t>2.1 Eligibility Criteria</w:t>
      </w:r>
      <w:bookmarkEnd w:id="5"/>
    </w:p>
    <w:p w:rsidR="00B80897" w:rsidRPr="00B80897" w:rsidRDefault="00B80897" w:rsidP="00B80897">
      <w:pPr>
        <w:keepNext/>
        <w:keepLines/>
        <w:spacing w:before="200" w:after="0"/>
        <w:outlineLvl w:val="2"/>
        <w:rPr>
          <w:rFonts w:ascii="Arial" w:eastAsia="MS Gothic" w:hAnsi="Arial" w:cs="Times New Roman"/>
          <w:b/>
          <w:bCs/>
          <w:color w:val="000000"/>
          <w:szCs w:val="24"/>
          <w:lang w:val="en-GB"/>
        </w:rPr>
      </w:pPr>
      <w:bookmarkStart w:id="6" w:name="_Toc377746635"/>
      <w:bookmarkStart w:id="7" w:name="_Toc377999416"/>
      <w:bookmarkStart w:id="8" w:name="_Toc379471699"/>
      <w:bookmarkStart w:id="9" w:name="_Toc379896997"/>
      <w:bookmarkStart w:id="10" w:name="_Toc380582566"/>
      <w:bookmarkStart w:id="11" w:name="_Toc381103166"/>
      <w:bookmarkStart w:id="12" w:name="_Toc381887828"/>
      <w:bookmarkStart w:id="13" w:name="_Toc382215479"/>
      <w:bookmarkStart w:id="14" w:name="_Toc382228127"/>
      <w:bookmarkStart w:id="15" w:name="_Toc382237813"/>
      <w:bookmarkStart w:id="16" w:name="_Toc384991093"/>
      <w:bookmarkStart w:id="17" w:name="_Toc385516423"/>
      <w:bookmarkStart w:id="18" w:name="_Toc386629515"/>
      <w:bookmarkStart w:id="19" w:name="_Ref386635211"/>
      <w:bookmarkStart w:id="20" w:name="_Toc386723019"/>
      <w:bookmarkStart w:id="21" w:name="_Toc386726564"/>
      <w:bookmarkStart w:id="22" w:name="_Toc387240290"/>
      <w:bookmarkStart w:id="23" w:name="_Toc387243175"/>
      <w:bookmarkStart w:id="24" w:name="_Toc387321551"/>
      <w:bookmarkStart w:id="25" w:name="_Toc387324253"/>
      <w:bookmarkStart w:id="26" w:name="_Toc390167263"/>
      <w:bookmarkStart w:id="27" w:name="_Toc389665387"/>
      <w:bookmarkStart w:id="28" w:name="_Toc434261397"/>
      <w:r w:rsidRPr="00B80897">
        <w:rPr>
          <w:rFonts w:ascii="Arial" w:eastAsia="MS Gothic" w:hAnsi="Arial" w:cs="Times New Roman"/>
          <w:b/>
          <w:bCs/>
          <w:color w:val="000000"/>
          <w:szCs w:val="24"/>
          <w:lang w:val="en-GB"/>
        </w:rPr>
        <w:t>2.1.1 Inclusion Criteria</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A patient was eligible for the study if all of the following applied:</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w:t>
      </w:r>
      <w:r w:rsidRPr="00B80897">
        <w:rPr>
          <w:rFonts w:ascii="Arial" w:eastAsia="TimesNewRoman" w:hAnsi="Arial" w:cs="Times New Roman"/>
          <w:szCs w:val="24"/>
        </w:rPr>
        <w:tab/>
        <w:t>Patients and/or legally authorized representative(s), if applicable, who had been fully</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informed and who had given voluntary written informed consent and HIPAA Authorization for US centers or equivalent privacy language as per national regulations or patients unable to write and/or read but who fully understood the oral information given by the Investigator (or nominated representative) and who had given oral informed consent and HIPAA Authorization for US centers or equivalent privacy language as per national regulations, witnessed in writing by an independent person.</w:t>
      </w:r>
    </w:p>
    <w:p w:rsidR="00B80897" w:rsidRPr="00B80897" w:rsidRDefault="00B80897" w:rsidP="00B80897">
      <w:pPr>
        <w:rPr>
          <w:rFonts w:ascii="Arial" w:eastAsia="TimesNewRoman" w:hAnsi="Arial" w:cs="Times New Roman"/>
          <w:szCs w:val="24"/>
        </w:rPr>
      </w:pPr>
      <w:r w:rsidRPr="00B80897">
        <w:rPr>
          <w:rFonts w:ascii="Arial" w:eastAsia="TimesNewRoman" w:hAnsi="Arial" w:cs="Times New Roman"/>
          <w:szCs w:val="24"/>
        </w:rPr>
        <w:t>2.</w:t>
      </w:r>
      <w:r w:rsidRPr="00B80897">
        <w:rPr>
          <w:rFonts w:ascii="Arial" w:eastAsia="TimesNewRoman" w:hAnsi="Arial" w:cs="Times New Roman"/>
          <w:szCs w:val="24"/>
        </w:rPr>
        <w:tab/>
        <w:t>Ability and willingness to comply with the protocol.</w:t>
      </w:r>
    </w:p>
    <w:p w:rsidR="00B80897" w:rsidRPr="00B80897" w:rsidRDefault="00B80897" w:rsidP="00B80897">
      <w:pPr>
        <w:rPr>
          <w:rFonts w:ascii="Arial" w:eastAsia="TimesNewRoman" w:hAnsi="Arial" w:cs="Times New Roman"/>
          <w:szCs w:val="24"/>
        </w:rPr>
      </w:pPr>
      <w:r w:rsidRPr="00B80897">
        <w:rPr>
          <w:rFonts w:ascii="Arial" w:eastAsia="TimesNewRoman" w:hAnsi="Arial" w:cs="Times New Roman"/>
          <w:szCs w:val="24"/>
        </w:rPr>
        <w:t>3.</w:t>
      </w:r>
      <w:r w:rsidRPr="00B80897">
        <w:rPr>
          <w:rFonts w:ascii="Arial" w:eastAsia="TimesNewRoman" w:hAnsi="Arial" w:cs="Times New Roman"/>
          <w:szCs w:val="24"/>
        </w:rPr>
        <w:tab/>
        <w:t>Male and female patients aged ≥ 18 years at the time of signing informed consent.</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4.</w:t>
      </w:r>
      <w:r w:rsidRPr="00B80897">
        <w:rPr>
          <w:rFonts w:ascii="Arial" w:eastAsia="TimesNewRoman" w:hAnsi="Arial" w:cs="Times New Roman"/>
          <w:szCs w:val="24"/>
        </w:rPr>
        <w:tab/>
        <w:t>Female patients must have been non-lactating and at no risk of pregnancy for 1 of the</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following</w:t>
      </w:r>
      <w:proofErr w:type="gramEnd"/>
      <w:r w:rsidRPr="00B80897">
        <w:rPr>
          <w:rFonts w:ascii="Arial" w:eastAsia="TimesNewRoman" w:hAnsi="Arial" w:cs="Times New Roman"/>
          <w:szCs w:val="24"/>
        </w:rPr>
        <w:t xml:space="preserve"> reasons:</w:t>
      </w:r>
    </w:p>
    <w:p w:rsidR="00B80897" w:rsidRPr="00B80897" w:rsidRDefault="00B80897" w:rsidP="00B80897">
      <w:pPr>
        <w:numPr>
          <w:ilvl w:val="0"/>
          <w:numId w:val="2"/>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Postmenopausal (amenorrhea for at least 1 year)</w:t>
      </w:r>
    </w:p>
    <w:p w:rsidR="00B80897" w:rsidRPr="00B80897" w:rsidRDefault="00B80897" w:rsidP="00B80897">
      <w:pPr>
        <w:numPr>
          <w:ilvl w:val="0"/>
          <w:numId w:val="2"/>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Post-hysterectomy and/or post-bilateral oopherectomy</w:t>
      </w:r>
    </w:p>
    <w:p w:rsidR="00B80897" w:rsidRPr="00B80897" w:rsidRDefault="00B80897" w:rsidP="00B80897">
      <w:pPr>
        <w:numPr>
          <w:ilvl w:val="0"/>
          <w:numId w:val="2"/>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If of childbearing potential, had a negative serum or urine human chorionic gonadotropin (</w:t>
      </w:r>
      <w:proofErr w:type="gramStart"/>
      <w:r w:rsidRPr="00B80897">
        <w:rPr>
          <w:rFonts w:ascii="Arial" w:eastAsia="TimesNewRoman" w:hAnsi="Arial" w:cs="Times New Roman"/>
          <w:szCs w:val="24"/>
        </w:rPr>
        <w:t>hCG</w:t>
      </w:r>
      <w:proofErr w:type="gramEnd"/>
      <w:r w:rsidRPr="00B80897">
        <w:rPr>
          <w:rFonts w:ascii="Arial" w:eastAsia="TimesNewRoman" w:hAnsi="Arial" w:cs="Times New Roman"/>
          <w:szCs w:val="24"/>
        </w:rPr>
        <w:t>) pregnancy test at screening and was using a highly effective method of birth control throughout the study. Reliable sexual abstinence throughout the course of the study was acceptable as a highly effective method of birth control for the purposes of this study.</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lastRenderedPageBreak/>
        <w:t>5.</w:t>
      </w:r>
      <w:r w:rsidRPr="00B80897">
        <w:rPr>
          <w:rFonts w:ascii="Arial" w:eastAsia="TimesNewRoman" w:hAnsi="Arial" w:cs="Times New Roman"/>
          <w:szCs w:val="24"/>
        </w:rPr>
        <w:tab/>
        <w:t xml:space="preserve">Patients with candidemia or with an invasive </w:t>
      </w:r>
      <w:r w:rsidRPr="00B80897">
        <w:rPr>
          <w:rFonts w:ascii="Arial" w:eastAsia="TimesNewRoman" w:hAnsi="Arial" w:cs="Times New Roman"/>
          <w:i/>
          <w:iCs/>
          <w:szCs w:val="24"/>
        </w:rPr>
        <w:t xml:space="preserve">Candida </w:t>
      </w:r>
      <w:r w:rsidRPr="00B80897">
        <w:rPr>
          <w:rFonts w:ascii="Arial" w:eastAsia="TimesNewRoman" w:hAnsi="Arial" w:cs="Times New Roman"/>
          <w:szCs w:val="24"/>
        </w:rPr>
        <w:t>infection who had a positive blood</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or</w:t>
      </w:r>
      <w:proofErr w:type="gramEnd"/>
      <w:r w:rsidRPr="00B80897">
        <w:rPr>
          <w:rFonts w:ascii="Arial" w:eastAsia="TimesNewRoman" w:hAnsi="Arial" w:cs="Times New Roman"/>
          <w:szCs w:val="24"/>
        </w:rPr>
        <w:t xml:space="preserve"> tissue culture obtained within 96 hours prior to randomization, accompanied by related clinical signs and symptoms or histological or cytological changes. A preliminary positive Gram stain, histology or cytology result of yeast was sufficient for randomization, and final culture results may still have been pending at the time of first dose.</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6.</w:t>
      </w:r>
      <w:r w:rsidRPr="00B80897">
        <w:rPr>
          <w:rFonts w:ascii="Arial" w:eastAsia="TimesNewRoman" w:hAnsi="Arial" w:cs="Times New Roman"/>
          <w:szCs w:val="24"/>
        </w:rPr>
        <w:tab/>
        <w:t>Presence of fever (on 1 occasion &gt; 38°C oral, or equivalent) or hypothermia (on 1 occasion &lt; 36°C oral, or equivalent) or hypotension (SBP &lt; 100 mmHg or a decrease in SBP of at least 30 mmHg) or appropriate local signs within 96 hours prior to randomization.</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7.</w:t>
      </w:r>
      <w:r w:rsidRPr="00B80897">
        <w:rPr>
          <w:rFonts w:ascii="Arial" w:eastAsia="TimesNewRoman" w:hAnsi="Arial" w:cs="Times New Roman"/>
          <w:szCs w:val="24"/>
        </w:rPr>
        <w:tab/>
        <w:t>Subject agreed to not participate in any other clinical trial with another investigational</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drug</w:t>
      </w:r>
      <w:proofErr w:type="gramEnd"/>
      <w:r w:rsidRPr="00B80897">
        <w:rPr>
          <w:rFonts w:ascii="Arial" w:eastAsia="TimesNewRoman" w:hAnsi="Arial" w:cs="Times New Roman"/>
          <w:szCs w:val="24"/>
        </w:rPr>
        <w:t xml:space="preserve">. </w:t>
      </w:r>
    </w:p>
    <w:p w:rsidR="00B80897" w:rsidRPr="00B80897" w:rsidRDefault="00B80897" w:rsidP="00B80897">
      <w:pPr>
        <w:autoSpaceDE w:val="0"/>
        <w:autoSpaceDN w:val="0"/>
        <w:adjustRightInd w:val="0"/>
        <w:spacing w:after="0"/>
        <w:rPr>
          <w:rFonts w:ascii="Arial" w:eastAsia="Calibri" w:hAnsi="Arial" w:cs="Times New Roman"/>
          <w:szCs w:val="24"/>
          <w:lang w:val="en-GB"/>
        </w:rPr>
      </w:pPr>
      <w:r w:rsidRPr="00B80897">
        <w:rPr>
          <w:rFonts w:ascii="Arial" w:eastAsia="TimesNewRoman" w:hAnsi="Arial" w:cs="Times New Roman"/>
          <w:szCs w:val="24"/>
        </w:rPr>
        <w:t>Waivers to the eligibility criteria were not allowed.</w:t>
      </w:r>
    </w:p>
    <w:p w:rsidR="00B80897" w:rsidRPr="00B80897" w:rsidRDefault="00B80897" w:rsidP="00B80897">
      <w:pPr>
        <w:keepNext/>
        <w:keepLines/>
        <w:spacing w:before="200" w:after="0"/>
        <w:outlineLvl w:val="2"/>
        <w:rPr>
          <w:rFonts w:ascii="Arial" w:eastAsia="MS Gothic" w:hAnsi="Arial" w:cs="Times New Roman"/>
          <w:b/>
          <w:bCs/>
          <w:color w:val="000000"/>
          <w:szCs w:val="24"/>
          <w:lang w:val="en-GB"/>
        </w:rPr>
      </w:pPr>
      <w:bookmarkStart w:id="29" w:name="_Toc434261398"/>
      <w:r w:rsidRPr="00B80897">
        <w:rPr>
          <w:rFonts w:ascii="Arial" w:eastAsia="MS Gothic" w:hAnsi="Arial" w:cs="Times New Roman"/>
          <w:b/>
          <w:bCs/>
          <w:color w:val="000000"/>
          <w:szCs w:val="24"/>
          <w:lang w:val="en-GB"/>
        </w:rPr>
        <w:t>2.1.2 Exclusion Criteria</w:t>
      </w:r>
      <w:bookmarkEnd w:id="29"/>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w:t>
      </w:r>
      <w:r w:rsidRPr="00B80897">
        <w:rPr>
          <w:rFonts w:ascii="Arial" w:eastAsia="TimesNewRoman" w:hAnsi="Arial" w:cs="Times New Roman"/>
          <w:szCs w:val="24"/>
        </w:rPr>
        <w:tab/>
        <w:t>Women who were pregnant or breastfeeding.</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 xml:space="preserve">2. </w:t>
      </w:r>
      <w:r w:rsidRPr="00B80897">
        <w:rPr>
          <w:rFonts w:ascii="Arial" w:eastAsia="TimesNewRoman" w:hAnsi="Arial" w:cs="Times New Roman"/>
          <w:szCs w:val="24"/>
        </w:rPr>
        <w:tab/>
        <w:t>Known history of allergy, hypersensitivity, or any serious reaction to any of the azole or</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echinocandin</w:t>
      </w:r>
      <w:proofErr w:type="gramEnd"/>
      <w:r w:rsidRPr="00B80897">
        <w:rPr>
          <w:rFonts w:ascii="Arial" w:eastAsia="TimesNewRoman" w:hAnsi="Arial" w:cs="Times New Roman"/>
          <w:szCs w:val="24"/>
        </w:rPr>
        <w:t xml:space="preserve"> class of antifungal or to any component of the study medication.</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3.</w:t>
      </w:r>
      <w:r w:rsidRPr="00B80897">
        <w:rPr>
          <w:rFonts w:ascii="Arial" w:eastAsia="TimesNewRoman" w:hAnsi="Arial" w:cs="Times New Roman"/>
          <w:szCs w:val="24"/>
        </w:rPr>
        <w:tab/>
        <w:t>Patients for whom caspofungin or voriconazole was contra-indicated.</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4.</w:t>
      </w:r>
      <w:r w:rsidRPr="00B80897">
        <w:rPr>
          <w:rFonts w:ascii="Arial" w:eastAsia="TimesNewRoman" w:hAnsi="Arial" w:cs="Times New Roman"/>
          <w:szCs w:val="24"/>
        </w:rPr>
        <w:tab/>
        <w:t>Patients at high risk for QT/QTc prolongation, e.g</w:t>
      </w:r>
      <w:proofErr w:type="gramStart"/>
      <w:r w:rsidRPr="00B80897">
        <w:rPr>
          <w:rFonts w:ascii="Arial" w:eastAsia="TimesNewRoman" w:hAnsi="Arial" w:cs="Times New Roman"/>
          <w:szCs w:val="24"/>
        </w:rPr>
        <w:t>.,</w:t>
      </w:r>
      <w:proofErr w:type="gramEnd"/>
    </w:p>
    <w:p w:rsidR="00B80897" w:rsidRPr="00B80897" w:rsidRDefault="00B80897" w:rsidP="00B80897">
      <w:pPr>
        <w:numPr>
          <w:ilvl w:val="0"/>
          <w:numId w:val="2"/>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Baseline prolongation of QTcF ≥ 500 msec;</w:t>
      </w:r>
    </w:p>
    <w:p w:rsidR="00B80897" w:rsidRPr="00B80897" w:rsidRDefault="00B80897" w:rsidP="00B80897">
      <w:pPr>
        <w:numPr>
          <w:ilvl w:val="0"/>
          <w:numId w:val="2"/>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Risk factors for Torsade de Pointes (e.g., uncompensated heart failure, abnormal potassium or magnesium levels that cannot be corrected, any unstable cardiac condition during the last 30 days or a family history of long QT syndrome);</w:t>
      </w:r>
    </w:p>
    <w:p w:rsidR="00B80897" w:rsidRPr="00B80897" w:rsidRDefault="00B80897" w:rsidP="00B80897">
      <w:pPr>
        <w:numPr>
          <w:ilvl w:val="0"/>
          <w:numId w:val="2"/>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The use of concomitant medications that prolong the QT/QTc interval.</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 xml:space="preserve">5. </w:t>
      </w:r>
      <w:r w:rsidRPr="00B80897">
        <w:rPr>
          <w:rFonts w:ascii="Arial" w:eastAsia="TimesNewRoman" w:hAnsi="Arial" w:cs="Times New Roman"/>
          <w:szCs w:val="24"/>
        </w:rPr>
        <w:tab/>
        <w:t>Patients with evidence of hepatic dysfunction with any of the following abnormalities at the time of randomization (may be re-checked using local laboratory):</w:t>
      </w:r>
    </w:p>
    <w:p w:rsidR="00B80897" w:rsidRPr="00B80897" w:rsidRDefault="00B80897" w:rsidP="00B80897">
      <w:pPr>
        <w:numPr>
          <w:ilvl w:val="0"/>
          <w:numId w:val="2"/>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Total bilirubin ≥ 3 x upper limit of normal (ULN) or</w:t>
      </w:r>
    </w:p>
    <w:p w:rsidR="00B80897" w:rsidRPr="00B80897" w:rsidRDefault="00B80897" w:rsidP="00B80897">
      <w:pPr>
        <w:numPr>
          <w:ilvl w:val="0"/>
          <w:numId w:val="2"/>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lastRenderedPageBreak/>
        <w:t>Alanine transaminase or aspartate transaminase ≥ 5 x ULN or</w:t>
      </w:r>
    </w:p>
    <w:p w:rsidR="00B80897" w:rsidRPr="00B80897" w:rsidRDefault="00B80897" w:rsidP="00B80897">
      <w:pPr>
        <w:numPr>
          <w:ilvl w:val="0"/>
          <w:numId w:val="2"/>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Patients with known cirrhosis or chronic liver failure.</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 xml:space="preserve">6. </w:t>
      </w:r>
      <w:r w:rsidRPr="00B80897">
        <w:rPr>
          <w:rFonts w:ascii="Arial" w:eastAsia="TimesNewRoman" w:hAnsi="Arial" w:cs="Times New Roman"/>
          <w:szCs w:val="24"/>
        </w:rPr>
        <w:tab/>
        <w:t>Concomitant use of sirolimus, everolimus, efavirenz, ritonavir, astemizole, cisapride,</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rifampicin/rifampin, rifabutin, ergot alkaloids, long acting barbiturates, carbamazepine, pimozide, quinidine, neostigmine, ketoconazole, valproic acid, St. John’s Wort or terfenadine in the 5 days prior to first administration of study medication.</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7.</w:t>
      </w:r>
      <w:r w:rsidRPr="00B80897">
        <w:rPr>
          <w:rFonts w:ascii="Arial" w:eastAsia="TimesNewRoman" w:hAnsi="Arial" w:cs="Times New Roman"/>
          <w:szCs w:val="24"/>
        </w:rPr>
        <w:tab/>
        <w:t>Patients with a sole diagnosis of mucocutaneous candidiasis, i.e., oropharyngeal,</w:t>
      </w:r>
    </w:p>
    <w:p w:rsidR="00B80897" w:rsidRPr="00B80897" w:rsidRDefault="00B80897" w:rsidP="00B80897">
      <w:pPr>
        <w:autoSpaceDE w:val="0"/>
        <w:autoSpaceDN w:val="0"/>
        <w:adjustRightInd w:val="0"/>
        <w:spacing w:after="0"/>
        <w:rPr>
          <w:rFonts w:ascii="Arial" w:eastAsia="TimesNewRoman" w:hAnsi="Arial" w:cs="Times New Roman"/>
          <w:i/>
          <w:iCs/>
          <w:szCs w:val="24"/>
        </w:rPr>
      </w:pPr>
      <w:proofErr w:type="gramStart"/>
      <w:r w:rsidRPr="00B80897">
        <w:rPr>
          <w:rFonts w:ascii="Arial" w:eastAsia="TimesNewRoman" w:hAnsi="Arial" w:cs="Times New Roman"/>
          <w:szCs w:val="24"/>
        </w:rPr>
        <w:t>esophageal</w:t>
      </w:r>
      <w:proofErr w:type="gramEnd"/>
      <w:r w:rsidRPr="00B80897">
        <w:rPr>
          <w:rFonts w:ascii="Arial" w:eastAsia="TimesNewRoman" w:hAnsi="Arial" w:cs="Times New Roman"/>
          <w:szCs w:val="24"/>
        </w:rPr>
        <w:t xml:space="preserve"> or genital candidiasis; or candidal lower urinary tract infection or </w:t>
      </w:r>
      <w:r w:rsidRPr="00B80897">
        <w:rPr>
          <w:rFonts w:ascii="Arial" w:eastAsia="TimesNewRoman" w:hAnsi="Arial" w:cs="Times New Roman"/>
          <w:i/>
          <w:iCs/>
          <w:szCs w:val="24"/>
        </w:rPr>
        <w:t>Candida</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isolated</w:t>
      </w:r>
      <w:proofErr w:type="gramEnd"/>
      <w:r w:rsidRPr="00B80897">
        <w:rPr>
          <w:rFonts w:ascii="Arial" w:eastAsia="TimesNewRoman" w:hAnsi="Arial" w:cs="Times New Roman"/>
          <w:szCs w:val="24"/>
        </w:rPr>
        <w:t xml:space="preserve"> solely from respiratory tract specimens.</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8.</w:t>
      </w:r>
      <w:r w:rsidRPr="00B80897">
        <w:rPr>
          <w:rFonts w:ascii="Arial" w:eastAsia="TimesNewRoman" w:hAnsi="Arial" w:cs="Times New Roman"/>
          <w:szCs w:val="24"/>
        </w:rPr>
        <w:tab/>
        <w:t>Patients with candidemia who failed a previous antifungal therapy for the same infection.</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9.</w:t>
      </w:r>
      <w:r w:rsidRPr="00B80897">
        <w:rPr>
          <w:rFonts w:ascii="Arial" w:eastAsia="TimesNewRoman" w:hAnsi="Arial" w:cs="Times New Roman"/>
          <w:szCs w:val="24"/>
        </w:rPr>
        <w:tab/>
        <w:t xml:space="preserve">Patients with any invasive fungal infection other than </w:t>
      </w:r>
      <w:r w:rsidRPr="00B80897">
        <w:rPr>
          <w:rFonts w:ascii="Arial" w:eastAsia="TimesNewRoman" w:hAnsi="Arial" w:cs="Times New Roman"/>
          <w:i/>
          <w:iCs/>
          <w:szCs w:val="24"/>
        </w:rPr>
        <w:t xml:space="preserve">Candida </w:t>
      </w:r>
      <w:r w:rsidRPr="00B80897">
        <w:rPr>
          <w:rFonts w:ascii="Arial" w:eastAsia="TimesNewRoman" w:hAnsi="Arial" w:cs="Times New Roman"/>
          <w:szCs w:val="24"/>
        </w:rPr>
        <w:t>spp., e.g., cryptococcosis,</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mold</w:t>
      </w:r>
      <w:proofErr w:type="gramEnd"/>
      <w:r w:rsidRPr="00B80897">
        <w:rPr>
          <w:rFonts w:ascii="Arial" w:eastAsia="TimesNewRoman" w:hAnsi="Arial" w:cs="Times New Roman"/>
          <w:szCs w:val="24"/>
        </w:rPr>
        <w:t xml:space="preserve"> infection or endemic fungal infection.</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10.</w:t>
      </w:r>
      <w:r w:rsidRPr="00B80897">
        <w:rPr>
          <w:rFonts w:ascii="Arial" w:eastAsia="TimesNewRoman" w:hAnsi="Arial" w:cs="Times New Roman"/>
          <w:szCs w:val="24"/>
        </w:rPr>
        <w:tab/>
        <w:t>Microbiological findings (e.g. bacterial infection) or other potential conditions that are</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temporally</w:t>
      </w:r>
      <w:proofErr w:type="gramEnd"/>
      <w:r w:rsidRPr="00B80897">
        <w:rPr>
          <w:rFonts w:ascii="Arial" w:eastAsia="TimesNewRoman" w:hAnsi="Arial" w:cs="Times New Roman"/>
          <w:szCs w:val="24"/>
        </w:rPr>
        <w:t xml:space="preserve"> related and suggest an alternative etiology of the clinical features in the</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absence</w:t>
      </w:r>
      <w:proofErr w:type="gramEnd"/>
      <w:r w:rsidRPr="00B80897">
        <w:rPr>
          <w:rFonts w:ascii="Arial" w:eastAsia="TimesNewRoman" w:hAnsi="Arial" w:cs="Times New Roman"/>
          <w:szCs w:val="24"/>
        </w:rPr>
        <w:t xml:space="preserve"> of culture/histology/cytology evidence of systemic </w:t>
      </w:r>
      <w:r w:rsidRPr="00B80897">
        <w:rPr>
          <w:rFonts w:ascii="Arial" w:eastAsia="TimesNewRoman" w:hAnsi="Arial" w:cs="Times New Roman"/>
          <w:i/>
          <w:iCs/>
          <w:szCs w:val="24"/>
        </w:rPr>
        <w:t xml:space="preserve">Candida </w:t>
      </w:r>
      <w:r w:rsidRPr="00B80897">
        <w:rPr>
          <w:rFonts w:ascii="Arial" w:eastAsia="TimesNewRoman" w:hAnsi="Arial" w:cs="Times New Roman"/>
          <w:szCs w:val="24"/>
        </w:rPr>
        <w:t>infection.</w:t>
      </w:r>
    </w:p>
    <w:p w:rsidR="00B80897" w:rsidRPr="00B80897" w:rsidRDefault="00B80897" w:rsidP="00B80897">
      <w:pPr>
        <w:numPr>
          <w:ilvl w:val="0"/>
          <w:numId w:val="6"/>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NB: For patients with intra-abdominal infection or intra-abdominal abscess, documentation of another pathogen (e.g., bacteria) excluded the patient from enrollment.</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11.</w:t>
      </w:r>
      <w:r w:rsidRPr="00B80897">
        <w:rPr>
          <w:rFonts w:ascii="Arial" w:eastAsia="TimesNewRoman" w:hAnsi="Arial" w:cs="Times New Roman"/>
          <w:szCs w:val="24"/>
        </w:rPr>
        <w:tab/>
        <w:t>Patients who had received systemic antifungal therapy for more than 48 hours within</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96 hours prior to the first administration of study medication.</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12.</w:t>
      </w:r>
      <w:r w:rsidRPr="00B80897">
        <w:rPr>
          <w:rFonts w:ascii="Arial" w:eastAsia="TimesNewRoman" w:hAnsi="Arial" w:cs="Times New Roman"/>
          <w:szCs w:val="24"/>
        </w:rPr>
        <w:tab/>
        <w:t>Severe prolonged immunosuppression (e.g., chronic granulomatous disease, severe</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 xml:space="preserve">combined immunodeficiency, end stage Human Immunodeficiency Virus (HIV)/AIDS disease refractory to standard HAART with limited life expectancy &lt; 30 days or severe graft versus host disease [grade III-IV associated with, e.g., failure of initial treatment, increased liver </w:t>
      </w:r>
      <w:r w:rsidRPr="00B80897">
        <w:rPr>
          <w:rFonts w:ascii="Arial" w:eastAsia="TimesNewRoman" w:hAnsi="Arial" w:cs="Times New Roman"/>
          <w:szCs w:val="24"/>
        </w:rPr>
        <w:lastRenderedPageBreak/>
        <w:t>enzymes or hypoalbuminemia]) or any other concomitant medical condition that may have impeded the accurate assessment of efficacy of study drug treatment.</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13.</w:t>
      </w:r>
      <w:r w:rsidRPr="00B80897">
        <w:rPr>
          <w:rFonts w:ascii="Arial" w:eastAsia="TimesNewRoman" w:hAnsi="Arial" w:cs="Times New Roman"/>
          <w:szCs w:val="24"/>
        </w:rPr>
        <w:tab/>
        <w:t>Any known or suspected condition of the patient that may have jeopardized adherence to</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the</w:t>
      </w:r>
      <w:proofErr w:type="gramEnd"/>
      <w:r w:rsidRPr="00B80897">
        <w:rPr>
          <w:rFonts w:ascii="Arial" w:eastAsia="TimesNewRoman" w:hAnsi="Arial" w:cs="Times New Roman"/>
          <w:szCs w:val="24"/>
        </w:rPr>
        <w:t xml:space="preserve"> protocol requirements such as patients with fungal endocarditis, fungal osteomyelitis, fungal meningitis or with life expectancy of &lt; 30 days.</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14.</w:t>
      </w:r>
      <w:r w:rsidRPr="00B80897">
        <w:rPr>
          <w:rFonts w:ascii="Arial" w:eastAsia="TimesNewRoman" w:hAnsi="Arial" w:cs="Times New Roman"/>
          <w:szCs w:val="24"/>
        </w:rPr>
        <w:tab/>
        <w:t>Patients with a concomitant medical condition that, in the opinion of the investigator,</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may</w:t>
      </w:r>
      <w:proofErr w:type="gramEnd"/>
      <w:r w:rsidRPr="00B80897">
        <w:rPr>
          <w:rFonts w:ascii="Arial" w:eastAsia="TimesNewRoman" w:hAnsi="Arial" w:cs="Times New Roman"/>
          <w:szCs w:val="24"/>
        </w:rPr>
        <w:t xml:space="preserve"> have been an unacceptable additional risk to the patient should he/she have participated in the study.</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15.</w:t>
      </w:r>
      <w:r w:rsidRPr="00B80897">
        <w:rPr>
          <w:rFonts w:ascii="Arial" w:eastAsia="TimesNewRoman" w:hAnsi="Arial" w:cs="Times New Roman"/>
          <w:szCs w:val="24"/>
        </w:rPr>
        <w:tab/>
        <w:t xml:space="preserve">Patients previously enrolled in a phase 3 </w:t>
      </w:r>
      <w:proofErr w:type="gramStart"/>
      <w:r w:rsidRPr="00B80897">
        <w:rPr>
          <w:rFonts w:ascii="Arial" w:eastAsia="TimesNewRoman" w:hAnsi="Arial" w:cs="Times New Roman"/>
          <w:szCs w:val="24"/>
        </w:rPr>
        <w:t>study</w:t>
      </w:r>
      <w:proofErr w:type="gramEnd"/>
      <w:r w:rsidRPr="00B80897">
        <w:rPr>
          <w:rFonts w:ascii="Arial" w:eastAsia="TimesNewRoman" w:hAnsi="Arial" w:cs="Times New Roman"/>
          <w:szCs w:val="24"/>
        </w:rPr>
        <w:t xml:space="preserve"> with isavuconazole.</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16.</w:t>
      </w:r>
      <w:r w:rsidRPr="00B80897">
        <w:rPr>
          <w:rFonts w:ascii="Arial" w:eastAsia="TimesNewRoman" w:hAnsi="Arial" w:cs="Times New Roman"/>
          <w:szCs w:val="24"/>
        </w:rPr>
        <w:tab/>
        <w:t>Treatment with any investigational drug in any clinical trial within 30 days prior to the</w:t>
      </w:r>
    </w:p>
    <w:p w:rsidR="00B80897" w:rsidRPr="00B80897" w:rsidRDefault="00B80897" w:rsidP="00B80897">
      <w:pPr>
        <w:autoSpaceDE w:val="0"/>
        <w:autoSpaceDN w:val="0"/>
        <w:adjustRightInd w:val="0"/>
        <w:spacing w:after="0"/>
        <w:rPr>
          <w:rFonts w:ascii="Arial" w:eastAsia="TimesNewRoman" w:hAnsi="Arial" w:cs="Times New Roman"/>
          <w:szCs w:val="24"/>
        </w:rPr>
      </w:pPr>
      <w:proofErr w:type="gramStart"/>
      <w:r w:rsidRPr="00B80897">
        <w:rPr>
          <w:rFonts w:ascii="Arial" w:eastAsia="TimesNewRoman" w:hAnsi="Arial" w:cs="Times New Roman"/>
          <w:szCs w:val="24"/>
        </w:rPr>
        <w:t>first</w:t>
      </w:r>
      <w:proofErr w:type="gramEnd"/>
      <w:r w:rsidRPr="00B80897">
        <w:rPr>
          <w:rFonts w:ascii="Arial" w:eastAsia="TimesNewRoman" w:hAnsi="Arial" w:cs="Times New Roman"/>
          <w:szCs w:val="24"/>
        </w:rPr>
        <w:t xml:space="preserve"> administration of study medication.</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17.</w:t>
      </w:r>
      <w:r w:rsidRPr="00B80897">
        <w:rPr>
          <w:rFonts w:ascii="Arial" w:eastAsia="TimesNewRoman" w:hAnsi="Arial" w:cs="Times New Roman"/>
          <w:szCs w:val="24"/>
        </w:rPr>
        <w:tab/>
        <w:t>Patient with body weight &lt; 40 kg.</w:t>
      </w:r>
    </w:p>
    <w:p w:rsidR="00B80897" w:rsidRPr="00B80897" w:rsidRDefault="00B80897" w:rsidP="00B80897">
      <w:pPr>
        <w:autoSpaceDE w:val="0"/>
        <w:autoSpaceDN w:val="0"/>
        <w:adjustRightInd w:val="0"/>
        <w:spacing w:after="0"/>
        <w:rPr>
          <w:rFonts w:ascii="Arial" w:eastAsia="TimesNewRoman" w:hAnsi="Arial" w:cs="Times New Roman"/>
          <w:szCs w:val="24"/>
        </w:rPr>
      </w:pPr>
      <w:r w:rsidRPr="00B80897">
        <w:rPr>
          <w:rFonts w:ascii="Arial" w:eastAsia="TimesNewRoman" w:hAnsi="Arial" w:cs="Times New Roman"/>
          <w:szCs w:val="24"/>
        </w:rPr>
        <w:t>18.</w:t>
      </w:r>
      <w:r w:rsidRPr="00B80897">
        <w:rPr>
          <w:rFonts w:ascii="Arial" w:eastAsia="TimesNewRoman" w:hAnsi="Arial" w:cs="Times New Roman"/>
          <w:szCs w:val="24"/>
        </w:rPr>
        <w:tab/>
        <w:t>Patients with known congenital short QT syndrome.</w:t>
      </w:r>
    </w:p>
    <w:p w:rsidR="00B80897" w:rsidRPr="00B80897" w:rsidRDefault="00B80897" w:rsidP="00B80897">
      <w:pPr>
        <w:rPr>
          <w:rFonts w:ascii="Arial" w:eastAsia="TimesNewRoman" w:hAnsi="Arial" w:cs="Times New Roman"/>
          <w:szCs w:val="24"/>
        </w:rPr>
      </w:pPr>
      <w:r w:rsidRPr="00B80897">
        <w:rPr>
          <w:rFonts w:ascii="Arial" w:eastAsia="TimesNewRoman" w:hAnsi="Arial" w:cs="Times New Roman"/>
          <w:szCs w:val="24"/>
        </w:rPr>
        <w:t>Waivers to the eligibility criteria were not allowed.</w:t>
      </w:r>
    </w:p>
    <w:p w:rsidR="00B80897" w:rsidRPr="00B80897" w:rsidRDefault="00B80897" w:rsidP="00B80897">
      <w:pPr>
        <w:rPr>
          <w:rFonts w:ascii="Arial" w:eastAsia="Calibri" w:hAnsi="Arial" w:cs="Times New Roman"/>
          <w:szCs w:val="24"/>
          <w:lang w:val="en-GB"/>
        </w:rPr>
      </w:pPr>
    </w:p>
    <w:p w:rsidR="00B80897" w:rsidRPr="00B80897" w:rsidRDefault="00B80897" w:rsidP="00B80897">
      <w:pPr>
        <w:keepNext/>
        <w:keepLines/>
        <w:spacing w:before="200" w:after="0"/>
        <w:outlineLvl w:val="1"/>
        <w:rPr>
          <w:rFonts w:ascii="Arial" w:eastAsia="MS Gothic" w:hAnsi="Arial" w:cs="Times New Roman"/>
          <w:b/>
          <w:bCs/>
          <w:color w:val="000000"/>
          <w:szCs w:val="24"/>
          <w:lang w:val="en-GB"/>
        </w:rPr>
      </w:pPr>
      <w:r w:rsidRPr="00B80897">
        <w:rPr>
          <w:rFonts w:ascii="Arial" w:eastAsia="MS Gothic" w:hAnsi="Arial" w:cs="Times New Roman"/>
          <w:b/>
          <w:bCs/>
          <w:color w:val="000000"/>
          <w:szCs w:val="24"/>
          <w:lang w:val="en-GB"/>
        </w:rPr>
        <w:t>2.2 Data-Review Committee’s Assessment of Overall Response</w:t>
      </w:r>
    </w:p>
    <w:p w:rsidR="00B80897" w:rsidRPr="00B80897" w:rsidRDefault="00B80897" w:rsidP="00B80897">
      <w:pPr>
        <w:keepNext/>
        <w:keepLines/>
        <w:spacing w:before="200" w:after="0"/>
        <w:outlineLvl w:val="2"/>
        <w:rPr>
          <w:rFonts w:ascii="Arial" w:eastAsia="MS Gothic" w:hAnsi="Arial" w:cs="Times New Roman"/>
          <w:b/>
          <w:bCs/>
          <w:color w:val="000000"/>
          <w:szCs w:val="24"/>
          <w:lang w:val="en-GB"/>
        </w:rPr>
      </w:pPr>
      <w:bookmarkStart w:id="30" w:name="_Toc303678146"/>
      <w:bookmarkStart w:id="31" w:name="_Toc361042757"/>
      <w:bookmarkStart w:id="32" w:name="_Toc377746694"/>
      <w:bookmarkStart w:id="33" w:name="_Ref377995620"/>
      <w:bookmarkStart w:id="34" w:name="_Toc377999475"/>
      <w:bookmarkStart w:id="35" w:name="_Toc379471753"/>
      <w:bookmarkStart w:id="36" w:name="_Toc379897051"/>
      <w:bookmarkStart w:id="37" w:name="_Toc380582620"/>
      <w:bookmarkStart w:id="38" w:name="_Toc381103220"/>
      <w:bookmarkStart w:id="39" w:name="_Toc381887882"/>
      <w:bookmarkStart w:id="40" w:name="_Toc382215533"/>
      <w:bookmarkStart w:id="41" w:name="_Toc382228181"/>
      <w:bookmarkStart w:id="42" w:name="_Toc382237868"/>
      <w:bookmarkStart w:id="43" w:name="_Toc384991147"/>
      <w:bookmarkStart w:id="44" w:name="_Toc385516477"/>
      <w:bookmarkStart w:id="45" w:name="_Toc386629569"/>
      <w:bookmarkStart w:id="46" w:name="_Toc386723073"/>
      <w:bookmarkStart w:id="47" w:name="_Toc386726619"/>
      <w:bookmarkStart w:id="48" w:name="_Toc387240344"/>
      <w:bookmarkStart w:id="49" w:name="_Toc387243229"/>
      <w:bookmarkStart w:id="50" w:name="_Toc387321605"/>
      <w:bookmarkStart w:id="51" w:name="_Toc387324307"/>
      <w:bookmarkStart w:id="52" w:name="_Toc434261400"/>
      <w:r w:rsidRPr="00B80897">
        <w:rPr>
          <w:rFonts w:ascii="Arial" w:eastAsia="MS Gothic" w:hAnsi="Arial" w:cs="Times New Roman"/>
          <w:b/>
          <w:bCs/>
          <w:color w:val="000000"/>
          <w:szCs w:val="24"/>
          <w:lang w:val="en-GB"/>
        </w:rPr>
        <w:t>2.2.1 Analysis</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B80897">
        <w:rPr>
          <w:rFonts w:ascii="Arial" w:eastAsia="MS Gothic" w:hAnsi="Arial" w:cs="Times New Roman"/>
          <w:b/>
          <w:bCs/>
          <w:color w:val="000000"/>
          <w:szCs w:val="24"/>
          <w:lang w:val="en-GB"/>
        </w:rPr>
        <w:t xml:space="preserve"> of Overall Outcome</w:t>
      </w:r>
      <w:bookmarkEnd w:id="52"/>
    </w:p>
    <w:p w:rsidR="00B80897" w:rsidRPr="00B80897" w:rsidRDefault="00B80897" w:rsidP="00B80897">
      <w:pPr>
        <w:spacing w:after="0"/>
        <w:rPr>
          <w:rFonts w:ascii="Arial" w:eastAsia="MS Mincho" w:hAnsi="Arial" w:cs="Times New Roman"/>
          <w:szCs w:val="24"/>
          <w:lang w:val="en-GB" w:eastAsia="ja-JP"/>
        </w:rPr>
      </w:pPr>
      <w:r w:rsidRPr="00B80897">
        <w:rPr>
          <w:rFonts w:ascii="Arial" w:eastAsia="MS Mincho" w:hAnsi="Arial" w:cs="Times New Roman"/>
          <w:szCs w:val="24"/>
          <w:lang w:val="en-GB" w:eastAsia="ja-JP"/>
        </w:rPr>
        <w:t xml:space="preserve">Responses for the overall outcome of treatment evaluated by the data-review committee (DRC) at end of IV therapy (EOIV), end of therapy (EOT), </w:t>
      </w:r>
      <w:r w:rsidRPr="00B80897">
        <w:rPr>
          <w:rFonts w:ascii="Arial" w:eastAsia="TimesNewRoman" w:hAnsi="Arial" w:cs="Times New Roman"/>
          <w:szCs w:val="24"/>
        </w:rPr>
        <w:t xml:space="preserve">2 weeks after EOT) and 6 weeks after EOT); </w:t>
      </w:r>
      <w:r w:rsidRPr="00B80897">
        <w:rPr>
          <w:rFonts w:ascii="Arial" w:eastAsia="MS Mincho" w:hAnsi="Arial" w:cs="Times New Roman"/>
          <w:szCs w:val="24"/>
          <w:lang w:val="en-GB" w:eastAsia="ja-JP"/>
        </w:rPr>
        <w:t>were classified as:</w:t>
      </w:r>
    </w:p>
    <w:p w:rsidR="00B80897" w:rsidRPr="00B80897" w:rsidRDefault="00B80897" w:rsidP="00B80897">
      <w:pPr>
        <w:autoSpaceDE w:val="0"/>
        <w:autoSpaceDN w:val="0"/>
        <w:adjustRightInd w:val="0"/>
        <w:spacing w:after="0"/>
        <w:outlineLvl w:val="0"/>
        <w:rPr>
          <w:rFonts w:ascii="Arial" w:eastAsia="TimesNewRoman" w:hAnsi="Arial" w:cs="Times New Roman"/>
          <w:b/>
          <w:i/>
          <w:szCs w:val="24"/>
          <w:u w:val="single"/>
        </w:rPr>
      </w:pPr>
      <w:r w:rsidRPr="00B80897">
        <w:rPr>
          <w:rFonts w:ascii="Arial" w:eastAsia="TimesNewRoman" w:hAnsi="Arial" w:cs="Times New Roman"/>
          <w:b/>
          <w:i/>
          <w:szCs w:val="24"/>
          <w:u w:val="single"/>
        </w:rPr>
        <w:t xml:space="preserve">Success: </w:t>
      </w:r>
    </w:p>
    <w:p w:rsidR="00B80897" w:rsidRPr="00B80897" w:rsidRDefault="00B80897" w:rsidP="00B80897">
      <w:pPr>
        <w:numPr>
          <w:ilvl w:val="0"/>
          <w:numId w:val="6"/>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Complete or partial clinical response by the DRC (</w:t>
      </w:r>
      <w:r w:rsidRPr="00B80897">
        <w:rPr>
          <w:rFonts w:ascii="Arial" w:eastAsia="TimesNewRoman" w:hAnsi="Arial" w:cs="Times New Roman"/>
          <w:b/>
          <w:szCs w:val="24"/>
        </w:rPr>
        <w:t>Table S1</w:t>
      </w:r>
      <w:r w:rsidRPr="00B80897">
        <w:rPr>
          <w:rFonts w:ascii="Arial" w:eastAsia="TimesNewRoman" w:hAnsi="Arial" w:cs="Times New Roman"/>
          <w:szCs w:val="24"/>
        </w:rPr>
        <w:t>).</w:t>
      </w:r>
    </w:p>
    <w:p w:rsidR="00B80897" w:rsidRPr="00B80897" w:rsidRDefault="00B80897" w:rsidP="00B80897">
      <w:pPr>
        <w:autoSpaceDE w:val="0"/>
        <w:autoSpaceDN w:val="0"/>
        <w:adjustRightInd w:val="0"/>
        <w:spacing w:after="0"/>
        <w:ind w:left="720" w:firstLine="720"/>
        <w:contextualSpacing/>
        <w:outlineLvl w:val="0"/>
        <w:rPr>
          <w:rFonts w:ascii="Arial" w:eastAsia="TimesNewRoman,Bold" w:hAnsi="Arial" w:cs="Times New Roman"/>
          <w:b/>
          <w:bCs/>
          <w:szCs w:val="24"/>
        </w:rPr>
      </w:pPr>
      <w:r w:rsidRPr="00B80897">
        <w:rPr>
          <w:rFonts w:ascii="Arial" w:eastAsia="TimesNewRoman,Bold" w:hAnsi="Arial" w:cs="Times New Roman"/>
          <w:b/>
          <w:bCs/>
          <w:szCs w:val="24"/>
        </w:rPr>
        <w:t>Plus</w:t>
      </w:r>
    </w:p>
    <w:p w:rsidR="00B80897" w:rsidRPr="00B80897" w:rsidRDefault="00B80897" w:rsidP="00B80897">
      <w:pPr>
        <w:numPr>
          <w:ilvl w:val="0"/>
          <w:numId w:val="6"/>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Mycological successful response (eradication or presumed eradication) by the DRC (</w:t>
      </w:r>
      <w:r w:rsidRPr="00B80897">
        <w:rPr>
          <w:rFonts w:ascii="Arial" w:eastAsia="TimesNewRoman" w:hAnsi="Arial" w:cs="Times New Roman"/>
          <w:b/>
          <w:szCs w:val="24"/>
        </w:rPr>
        <w:t>Table S1</w:t>
      </w:r>
      <w:r w:rsidRPr="00B80897">
        <w:rPr>
          <w:rFonts w:ascii="Arial" w:eastAsia="TimesNewRoman" w:hAnsi="Arial" w:cs="Times New Roman"/>
          <w:szCs w:val="24"/>
        </w:rPr>
        <w:t>).</w:t>
      </w:r>
    </w:p>
    <w:p w:rsidR="00B80897" w:rsidRPr="00B80897" w:rsidRDefault="00B80897" w:rsidP="00B80897">
      <w:pPr>
        <w:autoSpaceDE w:val="0"/>
        <w:autoSpaceDN w:val="0"/>
        <w:adjustRightInd w:val="0"/>
        <w:spacing w:after="0"/>
        <w:ind w:left="720" w:firstLine="720"/>
        <w:contextualSpacing/>
        <w:outlineLvl w:val="0"/>
        <w:rPr>
          <w:rFonts w:ascii="Arial" w:eastAsia="TimesNewRoman,Bold" w:hAnsi="Arial" w:cs="Times New Roman"/>
          <w:b/>
          <w:bCs/>
          <w:szCs w:val="24"/>
        </w:rPr>
      </w:pPr>
      <w:r w:rsidRPr="00B80897">
        <w:rPr>
          <w:rFonts w:ascii="Arial" w:eastAsia="TimesNewRoman,Bold" w:hAnsi="Arial" w:cs="Times New Roman"/>
          <w:b/>
          <w:bCs/>
          <w:szCs w:val="24"/>
        </w:rPr>
        <w:lastRenderedPageBreak/>
        <w:t>Plus</w:t>
      </w:r>
    </w:p>
    <w:p w:rsidR="00B80897" w:rsidRPr="00B80897" w:rsidRDefault="00B80897" w:rsidP="00B80897">
      <w:pPr>
        <w:numPr>
          <w:ilvl w:val="0"/>
          <w:numId w:val="6"/>
        </w:numPr>
        <w:autoSpaceDE w:val="0"/>
        <w:autoSpaceDN w:val="0"/>
        <w:adjustRightInd w:val="0"/>
        <w:spacing w:after="0"/>
        <w:contextualSpacing/>
        <w:rPr>
          <w:rFonts w:ascii="Arial" w:eastAsia="TimesNewRoman" w:hAnsi="Arial" w:cs="Times New Roman"/>
          <w:szCs w:val="24"/>
        </w:rPr>
      </w:pPr>
      <w:r w:rsidRPr="00B80897">
        <w:rPr>
          <w:rFonts w:ascii="Arial" w:eastAsia="TimesNewRoman" w:hAnsi="Arial" w:cs="Times New Roman"/>
          <w:szCs w:val="24"/>
        </w:rPr>
        <w:t>Did not receive alternative systemic antifungal therapy for empiric or treatment purpose (excluding the use of oral study medication as allowed in the protocol after at least 10 days of IV therapy) initiated within 48 hours after the last dose of IV study medication as assessed by the DRC.</w:t>
      </w:r>
    </w:p>
    <w:p w:rsidR="00B80897" w:rsidRPr="00B80897" w:rsidRDefault="00B80897" w:rsidP="00B80897">
      <w:pPr>
        <w:autoSpaceDE w:val="0"/>
        <w:autoSpaceDN w:val="0"/>
        <w:adjustRightInd w:val="0"/>
        <w:spacing w:after="0"/>
        <w:outlineLvl w:val="0"/>
        <w:rPr>
          <w:rFonts w:ascii="Arial" w:eastAsia="TimesNewRoman" w:hAnsi="Arial" w:cs="Times New Roman"/>
          <w:b/>
          <w:i/>
          <w:szCs w:val="24"/>
          <w:u w:val="single"/>
        </w:rPr>
      </w:pPr>
      <w:r w:rsidRPr="00B80897">
        <w:rPr>
          <w:rFonts w:ascii="Arial" w:eastAsia="TimesNewRoman" w:hAnsi="Arial" w:cs="Times New Roman"/>
          <w:b/>
          <w:i/>
          <w:szCs w:val="24"/>
          <w:u w:val="single"/>
        </w:rPr>
        <w:t>Failure:</w:t>
      </w:r>
    </w:p>
    <w:p w:rsidR="00B80897" w:rsidRPr="00B80897" w:rsidRDefault="00B80897" w:rsidP="00B80897">
      <w:pPr>
        <w:autoSpaceDE w:val="0"/>
        <w:autoSpaceDN w:val="0"/>
        <w:adjustRightInd w:val="0"/>
        <w:spacing w:after="0"/>
        <w:outlineLvl w:val="0"/>
        <w:rPr>
          <w:rFonts w:ascii="Arial" w:eastAsia="TimesNewRoman" w:hAnsi="Arial" w:cs="Times New Roman"/>
          <w:szCs w:val="24"/>
        </w:rPr>
      </w:pPr>
      <w:r w:rsidRPr="00B80897">
        <w:rPr>
          <w:rFonts w:ascii="Arial" w:eastAsia="TimesNewRoman" w:hAnsi="Arial" w:cs="Times New Roman"/>
          <w:szCs w:val="24"/>
        </w:rPr>
        <w:t>All patients who did not meet the above criteria for overall successful response</w:t>
      </w:r>
    </w:p>
    <w:p w:rsidR="00B80897" w:rsidRPr="00B80897" w:rsidRDefault="00B80897" w:rsidP="00B80897">
      <w:pPr>
        <w:autoSpaceDE w:val="0"/>
        <w:autoSpaceDN w:val="0"/>
        <w:adjustRightInd w:val="0"/>
        <w:spacing w:after="0"/>
        <w:rPr>
          <w:rFonts w:ascii="Arial" w:eastAsia="Calibri" w:hAnsi="Arial" w:cs="Times New Roman"/>
          <w:lang w:val="en-GB"/>
        </w:rPr>
      </w:pPr>
    </w:p>
    <w:p w:rsidR="00B80897" w:rsidRPr="00B80897" w:rsidRDefault="00B80897" w:rsidP="00B80897">
      <w:pPr>
        <w:keepNext/>
        <w:keepLines/>
        <w:spacing w:before="200" w:after="0"/>
        <w:outlineLvl w:val="2"/>
        <w:rPr>
          <w:rFonts w:ascii="Arial" w:eastAsia="MS Gothic" w:hAnsi="Arial" w:cs="Times New Roman"/>
          <w:b/>
          <w:bCs/>
          <w:color w:val="000000"/>
          <w:szCs w:val="24"/>
          <w:lang w:val="en-GB"/>
        </w:rPr>
      </w:pPr>
      <w:bookmarkStart w:id="53" w:name="_Toc303678147"/>
      <w:bookmarkStart w:id="54" w:name="_Toc361042758"/>
      <w:bookmarkStart w:id="55" w:name="_Toc377746695"/>
      <w:bookmarkStart w:id="56" w:name="_Toc377999476"/>
      <w:bookmarkStart w:id="57" w:name="_Toc379471754"/>
      <w:bookmarkStart w:id="58" w:name="_Toc379897052"/>
      <w:bookmarkStart w:id="59" w:name="_Toc380582621"/>
      <w:bookmarkStart w:id="60" w:name="_Toc381103221"/>
      <w:bookmarkStart w:id="61" w:name="_Toc381887883"/>
      <w:bookmarkStart w:id="62" w:name="_Toc382215534"/>
      <w:bookmarkStart w:id="63" w:name="_Toc382228182"/>
      <w:bookmarkStart w:id="64" w:name="_Toc382237869"/>
      <w:bookmarkStart w:id="65" w:name="_Toc384991148"/>
      <w:bookmarkStart w:id="66" w:name="_Toc385516478"/>
      <w:bookmarkStart w:id="67" w:name="_Toc386629570"/>
      <w:bookmarkStart w:id="68" w:name="_Toc386723074"/>
      <w:bookmarkStart w:id="69" w:name="_Toc386726620"/>
      <w:bookmarkStart w:id="70" w:name="_Toc387240345"/>
      <w:bookmarkStart w:id="71" w:name="_Toc387243230"/>
      <w:bookmarkStart w:id="72" w:name="_Toc387321606"/>
      <w:bookmarkStart w:id="73" w:name="_Toc387324308"/>
      <w:bookmarkStart w:id="74" w:name="_Toc434261401"/>
      <w:r w:rsidRPr="00B80897">
        <w:rPr>
          <w:rFonts w:ascii="Arial" w:eastAsia="MS Gothic" w:hAnsi="Arial" w:cs="Times New Roman"/>
          <w:b/>
          <w:bCs/>
          <w:color w:val="000000"/>
          <w:szCs w:val="24"/>
          <w:lang w:val="en-GB"/>
        </w:rPr>
        <w:t>2.2.2</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B80897">
        <w:rPr>
          <w:rFonts w:ascii="Arial" w:eastAsia="MS Gothic" w:hAnsi="Arial" w:cs="Times New Roman"/>
          <w:b/>
          <w:bCs/>
          <w:color w:val="000000"/>
          <w:szCs w:val="24"/>
          <w:lang w:val="en-GB"/>
        </w:rPr>
        <w:t xml:space="preserve"> Analysis of Secondary Efficacy Variables</w:t>
      </w:r>
      <w:bookmarkEnd w:id="74"/>
    </w:p>
    <w:p w:rsidR="00B80897" w:rsidRPr="00B80897" w:rsidRDefault="00B80897" w:rsidP="00B80897">
      <w:pPr>
        <w:spacing w:after="0"/>
        <w:rPr>
          <w:rFonts w:ascii="Arial" w:eastAsia="MS Mincho" w:hAnsi="Arial" w:cs="Times New Roman"/>
          <w:szCs w:val="24"/>
          <w:lang w:val="en-GB" w:eastAsia="ja-JP"/>
        </w:rPr>
      </w:pPr>
      <w:r w:rsidRPr="00B80897">
        <w:rPr>
          <w:rFonts w:ascii="Arial" w:eastAsia="MS Mincho" w:hAnsi="Arial" w:cs="Times New Roman"/>
          <w:szCs w:val="24"/>
          <w:lang w:val="en-GB" w:eastAsia="ja-JP"/>
        </w:rPr>
        <w:t>The secondary efficacy variables included each component of the overall response (i.e., clinical, and mycological), as assessed by the DRC. In addition, the survival rate of patients at multiple time points was a key secondary efficacy variable.</w:t>
      </w:r>
    </w:p>
    <w:p w:rsidR="00B80897" w:rsidRPr="00B80897" w:rsidRDefault="00B80897" w:rsidP="00B80897">
      <w:pPr>
        <w:autoSpaceDE w:val="0"/>
        <w:autoSpaceDN w:val="0"/>
        <w:adjustRightInd w:val="0"/>
        <w:spacing w:after="0"/>
        <w:rPr>
          <w:rFonts w:ascii="Arial" w:eastAsia="TimesNewRoman" w:hAnsi="Arial" w:cs="Times New Roman"/>
          <w:szCs w:val="24"/>
        </w:rPr>
      </w:pPr>
    </w:p>
    <w:p w:rsidR="00B80897" w:rsidRPr="00B80897" w:rsidRDefault="00B80897" w:rsidP="00B80897">
      <w:pPr>
        <w:autoSpaceDE w:val="0"/>
        <w:autoSpaceDN w:val="0"/>
        <w:adjustRightInd w:val="0"/>
        <w:spacing w:after="0"/>
        <w:rPr>
          <w:rFonts w:ascii="Arial" w:eastAsia="TimesNewRoman" w:hAnsi="Arial" w:cs="Times New Roman"/>
          <w:szCs w:val="24"/>
        </w:rPr>
      </w:pPr>
    </w:p>
    <w:p w:rsidR="00B80897" w:rsidRPr="00B80897" w:rsidRDefault="00B80897" w:rsidP="00B80897">
      <w:pPr>
        <w:spacing w:line="276" w:lineRule="auto"/>
        <w:rPr>
          <w:rFonts w:ascii="Arial" w:eastAsia="TimesNewRoman" w:hAnsi="Arial" w:cs="Times New Roman"/>
          <w:szCs w:val="24"/>
        </w:rPr>
      </w:pPr>
      <w:r w:rsidRPr="00B80897">
        <w:rPr>
          <w:rFonts w:ascii="Arial" w:eastAsia="TimesNewRoman" w:hAnsi="Arial" w:cs="Times New Roman"/>
          <w:szCs w:val="24"/>
        </w:rPr>
        <w:br w:type="page"/>
      </w:r>
    </w:p>
    <w:tbl>
      <w:tblPr>
        <w:tblW w:w="4589" w:type="pct"/>
        <w:tblLook w:val="04A0" w:firstRow="1" w:lastRow="0" w:firstColumn="1" w:lastColumn="0" w:noHBand="0" w:noVBand="1"/>
      </w:tblPr>
      <w:tblGrid>
        <w:gridCol w:w="1885"/>
        <w:gridCol w:w="6597"/>
      </w:tblGrid>
      <w:tr w:rsidR="00B80897" w:rsidRPr="00B80897" w:rsidTr="00C649A0">
        <w:tc>
          <w:tcPr>
            <w:tcW w:w="5000" w:type="pct"/>
            <w:gridSpan w:val="2"/>
            <w:tcBorders>
              <w:bottom w:val="single" w:sz="4" w:space="0" w:color="auto"/>
            </w:tcBorders>
            <w:shd w:val="clear" w:color="auto" w:fill="auto"/>
          </w:tcPr>
          <w:p w:rsidR="00B80897" w:rsidRPr="00B80897" w:rsidRDefault="00B80897" w:rsidP="00B80897">
            <w:pPr>
              <w:keepNext/>
              <w:keepLines/>
              <w:spacing w:before="120" w:after="120"/>
              <w:rPr>
                <w:rFonts w:ascii="Calibri" w:eastAsia="MS Mincho" w:hAnsi="Calibri" w:cs="Times New Roman"/>
                <w:b/>
                <w:color w:val="000000"/>
                <w:szCs w:val="24"/>
                <w:lang w:val="en-GB"/>
              </w:rPr>
            </w:pPr>
            <w:r w:rsidRPr="00B80897">
              <w:rPr>
                <w:rFonts w:ascii="Arial" w:eastAsia="MS Mincho" w:hAnsi="Arial" w:cs="Times New Roman"/>
                <w:b/>
                <w:color w:val="000000"/>
                <w:szCs w:val="24"/>
                <w:lang w:val="en-GB"/>
              </w:rPr>
              <w:lastRenderedPageBreak/>
              <w:t>Table S</w:t>
            </w:r>
            <w:r w:rsidRPr="00B80897">
              <w:rPr>
                <w:rFonts w:ascii="Arial" w:eastAsia="MS Mincho" w:hAnsi="Arial" w:cs="Times New Roman"/>
                <w:b/>
                <w:color w:val="000000"/>
                <w:szCs w:val="24"/>
                <w:lang w:val="en-GB"/>
              </w:rPr>
              <w:fldChar w:fldCharType="begin"/>
            </w:r>
            <w:r w:rsidRPr="00B80897">
              <w:rPr>
                <w:rFonts w:ascii="Arial" w:eastAsia="MS Mincho" w:hAnsi="Arial" w:cs="Times New Roman"/>
                <w:b/>
                <w:color w:val="000000"/>
                <w:szCs w:val="24"/>
                <w:lang w:val="en-GB"/>
              </w:rPr>
              <w:instrText xml:space="preserve"> SEQ Table \* ARABIC </w:instrText>
            </w:r>
            <w:r w:rsidRPr="00B80897">
              <w:rPr>
                <w:rFonts w:ascii="Arial" w:eastAsia="MS Mincho" w:hAnsi="Arial" w:cs="Times New Roman"/>
                <w:b/>
                <w:color w:val="000000"/>
                <w:szCs w:val="24"/>
                <w:lang w:val="en-GB"/>
              </w:rPr>
              <w:fldChar w:fldCharType="separate"/>
            </w:r>
            <w:r w:rsidRPr="00B80897">
              <w:rPr>
                <w:rFonts w:ascii="Arial" w:eastAsia="MS Mincho" w:hAnsi="Arial" w:cs="Times New Roman"/>
                <w:b/>
                <w:noProof/>
                <w:color w:val="000000"/>
                <w:szCs w:val="24"/>
                <w:lang w:val="en-GB"/>
              </w:rPr>
              <w:t>1</w:t>
            </w:r>
            <w:r w:rsidRPr="00B80897">
              <w:rPr>
                <w:rFonts w:ascii="Arial" w:eastAsia="MS Mincho" w:hAnsi="Arial" w:cs="Times New Roman"/>
                <w:b/>
                <w:color w:val="000000"/>
                <w:szCs w:val="24"/>
                <w:lang w:val="en-GB"/>
              </w:rPr>
              <w:fldChar w:fldCharType="end"/>
            </w:r>
            <w:r w:rsidRPr="00B80897">
              <w:rPr>
                <w:rFonts w:ascii="Arial" w:eastAsia="MS Mincho" w:hAnsi="Arial" w:cs="Times New Roman"/>
                <w:b/>
                <w:color w:val="000000"/>
                <w:szCs w:val="24"/>
                <w:lang w:val="en-GB"/>
              </w:rPr>
              <w:t xml:space="preserve">. </w:t>
            </w:r>
            <w:r w:rsidRPr="00B80897">
              <w:rPr>
                <w:rFonts w:ascii="Arial" w:eastAsia="MS Mincho" w:hAnsi="Arial" w:cs="Times New Roman"/>
                <w:color w:val="000000"/>
                <w:szCs w:val="24"/>
                <w:lang w:val="en-GB" w:eastAsia="ja-JP"/>
              </w:rPr>
              <w:t>DRC Assessments of Response</w:t>
            </w:r>
          </w:p>
        </w:tc>
      </w:tr>
      <w:tr w:rsidR="00B80897" w:rsidRPr="00B80897" w:rsidTr="00C649A0">
        <w:tc>
          <w:tcPr>
            <w:tcW w:w="1111" w:type="pct"/>
            <w:tcBorders>
              <w:top w:val="single" w:sz="4" w:space="0" w:color="auto"/>
              <w:bottom w:val="single" w:sz="4" w:space="0" w:color="auto"/>
            </w:tcBorders>
            <w:shd w:val="clear" w:color="auto" w:fill="auto"/>
          </w:tcPr>
          <w:p w:rsidR="00B80897" w:rsidRPr="00B80897" w:rsidRDefault="00B80897" w:rsidP="00B80897">
            <w:pPr>
              <w:keepNext/>
              <w:keepLines/>
              <w:spacing w:before="120" w:after="120" w:line="360" w:lineRule="auto"/>
              <w:rPr>
                <w:rFonts w:ascii="Times New Roman" w:eastAsia="MS Mincho" w:hAnsi="Times New Roman" w:cs="Times New Roman"/>
                <w:b/>
                <w:sz w:val="24"/>
                <w:szCs w:val="24"/>
                <w:lang w:val="en-GB"/>
              </w:rPr>
            </w:pPr>
            <w:r w:rsidRPr="00B80897">
              <w:rPr>
                <w:rFonts w:ascii="Arial" w:eastAsia="MS Mincho" w:hAnsi="Arial" w:cs="Times New Roman"/>
                <w:b/>
                <w:szCs w:val="24"/>
                <w:lang w:val="en-GB"/>
              </w:rPr>
              <w:t>Outcome</w:t>
            </w:r>
          </w:p>
        </w:tc>
        <w:tc>
          <w:tcPr>
            <w:tcW w:w="3889" w:type="pct"/>
            <w:tcBorders>
              <w:top w:val="single" w:sz="4" w:space="0" w:color="auto"/>
              <w:bottom w:val="single" w:sz="4" w:space="0" w:color="auto"/>
            </w:tcBorders>
            <w:shd w:val="clear" w:color="auto" w:fill="auto"/>
          </w:tcPr>
          <w:p w:rsidR="00B80897" w:rsidRPr="00B80897" w:rsidRDefault="00B80897" w:rsidP="00B80897">
            <w:pPr>
              <w:keepNext/>
              <w:keepLines/>
              <w:spacing w:before="120" w:after="120" w:line="360" w:lineRule="auto"/>
              <w:rPr>
                <w:rFonts w:ascii="Calibri" w:eastAsia="MS Mincho" w:hAnsi="Calibri" w:cs="Times New Roman"/>
                <w:b/>
                <w:szCs w:val="24"/>
                <w:lang w:val="en-GB"/>
              </w:rPr>
            </w:pPr>
            <w:r w:rsidRPr="00B80897">
              <w:rPr>
                <w:rFonts w:ascii="Arial" w:eastAsia="MS Mincho" w:hAnsi="Arial" w:cs="Times New Roman"/>
                <w:b/>
                <w:szCs w:val="24"/>
                <w:lang w:val="en-GB"/>
              </w:rPr>
              <w:t>DRC-Assessed Clinical Response</w:t>
            </w:r>
          </w:p>
        </w:tc>
      </w:tr>
      <w:tr w:rsidR="00B80897" w:rsidRPr="00B80897" w:rsidTr="00B80897">
        <w:tc>
          <w:tcPr>
            <w:tcW w:w="1111" w:type="pct"/>
            <w:tcBorders>
              <w:top w:val="single" w:sz="4" w:space="0" w:color="auto"/>
            </w:tcBorders>
            <w:shd w:val="clear" w:color="auto" w:fill="FFFFFF"/>
            <w:tcMar>
              <w:right w:w="72" w:type="dxa"/>
            </w:tcMar>
          </w:tcPr>
          <w:p w:rsidR="00B80897" w:rsidRPr="00B80897" w:rsidRDefault="00B80897" w:rsidP="00B80897">
            <w:pPr>
              <w:keepNext/>
              <w:keepLines/>
              <w:spacing w:before="120" w:after="120" w:line="360" w:lineRule="auto"/>
              <w:rPr>
                <w:rFonts w:ascii="Times New Roman" w:eastAsia="MS Mincho" w:hAnsi="Times New Roman" w:cs="Times New Roman"/>
                <w:sz w:val="24"/>
                <w:szCs w:val="24"/>
                <w:lang w:val="en-GB"/>
              </w:rPr>
            </w:pPr>
            <w:r w:rsidRPr="00B80897">
              <w:rPr>
                <w:rFonts w:ascii="Arial" w:eastAsia="MS Mincho" w:hAnsi="Arial" w:cs="Times New Roman"/>
                <w:szCs w:val="24"/>
                <w:lang w:val="en-GB"/>
              </w:rPr>
              <w:t>Success</w:t>
            </w:r>
          </w:p>
        </w:tc>
        <w:tc>
          <w:tcPr>
            <w:tcW w:w="3889" w:type="pct"/>
            <w:tcBorders>
              <w:top w:val="single" w:sz="4" w:space="0" w:color="auto"/>
            </w:tcBorders>
            <w:shd w:val="clear" w:color="auto" w:fill="FFFFFF"/>
            <w:tcMar>
              <w:right w:w="72" w:type="dxa"/>
            </w:tcMar>
          </w:tcPr>
          <w:p w:rsidR="00B80897" w:rsidRPr="00B80897" w:rsidRDefault="00B80897" w:rsidP="00B80897">
            <w:pPr>
              <w:keepNext/>
              <w:keepLines/>
              <w:numPr>
                <w:ilvl w:val="0"/>
                <w:numId w:val="1"/>
              </w:numPr>
              <w:spacing w:before="120" w:after="120" w:line="360" w:lineRule="auto"/>
              <w:ind w:left="331" w:hanging="283"/>
              <w:rPr>
                <w:rFonts w:ascii="Arial" w:eastAsia="MS Mincho" w:hAnsi="Arial" w:cs="Times New Roman"/>
                <w:szCs w:val="24"/>
                <w:lang w:val="en-GB"/>
              </w:rPr>
            </w:pPr>
            <w:r w:rsidRPr="00B80897">
              <w:rPr>
                <w:rFonts w:ascii="Arial" w:eastAsia="MS Mincho" w:hAnsi="Arial" w:cs="Times New Roman"/>
                <w:szCs w:val="24"/>
                <w:lang w:val="en-GB"/>
              </w:rPr>
              <w:t>Resolution of all attributable clinical symptoms and physical findings</w:t>
            </w:r>
          </w:p>
          <w:p w:rsidR="00B80897" w:rsidRPr="00B80897" w:rsidRDefault="00B80897" w:rsidP="00B80897">
            <w:pPr>
              <w:keepNext/>
              <w:keepLines/>
              <w:numPr>
                <w:ilvl w:val="0"/>
                <w:numId w:val="1"/>
              </w:numPr>
              <w:spacing w:before="120" w:after="120" w:line="360" w:lineRule="auto"/>
              <w:ind w:left="331" w:hanging="283"/>
              <w:rPr>
                <w:rFonts w:ascii="Calibri" w:eastAsia="MS Mincho" w:hAnsi="Calibri" w:cs="Times New Roman"/>
                <w:szCs w:val="24"/>
                <w:lang w:val="en-GB"/>
              </w:rPr>
            </w:pPr>
            <w:r w:rsidRPr="00B80897">
              <w:rPr>
                <w:rFonts w:ascii="Arial" w:eastAsia="MS Mincho" w:hAnsi="Arial" w:cs="Times New Roman"/>
                <w:szCs w:val="24"/>
                <w:lang w:val="en-GB"/>
              </w:rPr>
              <w:t>Partial resolution of attributable clinical symptoms and physical findings</w:t>
            </w:r>
          </w:p>
        </w:tc>
      </w:tr>
      <w:tr w:rsidR="00B80897" w:rsidRPr="00B80897" w:rsidTr="00B80897">
        <w:tc>
          <w:tcPr>
            <w:tcW w:w="1111" w:type="pct"/>
            <w:shd w:val="clear" w:color="auto" w:fill="FFFFFF"/>
          </w:tcPr>
          <w:p w:rsidR="00B80897" w:rsidRPr="00B80897" w:rsidRDefault="00B80897" w:rsidP="00B80897">
            <w:pPr>
              <w:keepNext/>
              <w:keepLines/>
              <w:spacing w:before="120" w:after="120" w:line="360" w:lineRule="auto"/>
              <w:rPr>
                <w:rFonts w:ascii="Times New Roman" w:eastAsia="MS Mincho" w:hAnsi="Times New Roman" w:cs="Times New Roman"/>
                <w:sz w:val="24"/>
                <w:szCs w:val="24"/>
                <w:lang w:val="en-GB"/>
              </w:rPr>
            </w:pPr>
            <w:r w:rsidRPr="00B80897">
              <w:rPr>
                <w:rFonts w:ascii="Arial" w:eastAsia="MS Mincho" w:hAnsi="Arial" w:cs="Times New Roman"/>
                <w:szCs w:val="24"/>
                <w:lang w:val="en-GB"/>
              </w:rPr>
              <w:t>Failure</w:t>
            </w:r>
          </w:p>
        </w:tc>
        <w:tc>
          <w:tcPr>
            <w:tcW w:w="3889" w:type="pct"/>
            <w:shd w:val="clear" w:color="auto" w:fill="FFFFFF"/>
          </w:tcPr>
          <w:p w:rsidR="00B80897" w:rsidRPr="00B80897" w:rsidRDefault="00B80897" w:rsidP="00B80897">
            <w:pPr>
              <w:keepNext/>
              <w:keepLines/>
              <w:numPr>
                <w:ilvl w:val="0"/>
                <w:numId w:val="1"/>
              </w:numPr>
              <w:spacing w:before="120" w:after="120" w:line="360" w:lineRule="auto"/>
              <w:ind w:left="331" w:hanging="283"/>
              <w:rPr>
                <w:rFonts w:ascii="Arial" w:eastAsia="MS Mincho" w:hAnsi="Arial" w:cs="Times New Roman"/>
                <w:szCs w:val="24"/>
                <w:lang w:val="en-GB"/>
              </w:rPr>
            </w:pPr>
            <w:r w:rsidRPr="00B80897">
              <w:rPr>
                <w:rFonts w:ascii="Arial" w:eastAsia="MS Mincho" w:hAnsi="Arial" w:cs="Times New Roman"/>
                <w:szCs w:val="24"/>
                <w:lang w:val="en-GB"/>
              </w:rPr>
              <w:t>No resolution of any attributable clinical symptoms and physical findings and/or worsening</w:t>
            </w:r>
          </w:p>
          <w:p w:rsidR="00B80897" w:rsidRPr="00B80897" w:rsidRDefault="00B80897" w:rsidP="00B80897">
            <w:pPr>
              <w:keepNext/>
              <w:keepLines/>
              <w:numPr>
                <w:ilvl w:val="0"/>
                <w:numId w:val="1"/>
              </w:numPr>
              <w:spacing w:before="120" w:after="120" w:line="360" w:lineRule="auto"/>
              <w:ind w:left="331" w:hanging="283"/>
              <w:rPr>
                <w:rFonts w:ascii="Calibri" w:eastAsia="MS Mincho" w:hAnsi="Calibri" w:cs="Times New Roman"/>
                <w:szCs w:val="24"/>
                <w:lang w:val="en-GB"/>
              </w:rPr>
            </w:pPr>
            <w:r w:rsidRPr="00B80897">
              <w:rPr>
                <w:rFonts w:ascii="Arial" w:eastAsia="MS Mincho" w:hAnsi="Arial" w:cs="Times New Roman"/>
                <w:szCs w:val="24"/>
                <w:lang w:val="en-GB"/>
              </w:rPr>
              <w:t>Not done or missing</w:t>
            </w:r>
          </w:p>
        </w:tc>
      </w:tr>
      <w:tr w:rsidR="00B80897" w:rsidRPr="00B80897" w:rsidTr="00B80897">
        <w:tc>
          <w:tcPr>
            <w:tcW w:w="1111" w:type="pct"/>
            <w:tcBorders>
              <w:bottom w:val="single" w:sz="4" w:space="0" w:color="auto"/>
            </w:tcBorders>
            <w:shd w:val="clear" w:color="auto" w:fill="FFFFFF"/>
          </w:tcPr>
          <w:p w:rsidR="00B80897" w:rsidRPr="00B80897" w:rsidRDefault="00B80897" w:rsidP="00B80897">
            <w:pPr>
              <w:keepNext/>
              <w:keepLines/>
              <w:spacing w:before="120" w:after="120" w:line="360" w:lineRule="auto"/>
              <w:rPr>
                <w:rFonts w:ascii="Times New Roman" w:eastAsia="MS Mincho" w:hAnsi="Times New Roman" w:cs="Times New Roman"/>
                <w:sz w:val="24"/>
                <w:szCs w:val="24"/>
                <w:lang w:val="en-GB"/>
              </w:rPr>
            </w:pPr>
            <w:r w:rsidRPr="00B80897">
              <w:rPr>
                <w:rFonts w:ascii="Arial" w:eastAsia="MS Mincho" w:hAnsi="Arial" w:cs="Times New Roman"/>
                <w:szCs w:val="24"/>
                <w:lang w:val="en-GB"/>
              </w:rPr>
              <w:t>Not applicable</w:t>
            </w:r>
          </w:p>
        </w:tc>
        <w:tc>
          <w:tcPr>
            <w:tcW w:w="3889" w:type="pct"/>
            <w:tcBorders>
              <w:bottom w:val="single" w:sz="4" w:space="0" w:color="auto"/>
            </w:tcBorders>
            <w:shd w:val="clear" w:color="auto" w:fill="FFFFFF"/>
          </w:tcPr>
          <w:p w:rsidR="00B80897" w:rsidRPr="00B80897" w:rsidRDefault="00B80897" w:rsidP="00B80897">
            <w:pPr>
              <w:keepNext/>
              <w:keepLines/>
              <w:numPr>
                <w:ilvl w:val="0"/>
                <w:numId w:val="1"/>
              </w:numPr>
              <w:spacing w:before="120" w:after="120" w:line="360" w:lineRule="auto"/>
              <w:ind w:left="331" w:hanging="283"/>
              <w:rPr>
                <w:rFonts w:ascii="Calibri" w:eastAsia="MS Mincho" w:hAnsi="Calibri" w:cs="Times New Roman"/>
                <w:szCs w:val="24"/>
                <w:lang w:val="en-GB"/>
              </w:rPr>
            </w:pPr>
            <w:r w:rsidRPr="00B80897">
              <w:rPr>
                <w:rFonts w:ascii="Arial" w:eastAsia="MS Mincho" w:hAnsi="Arial" w:cs="Times New Roman"/>
                <w:szCs w:val="24"/>
                <w:lang w:val="en-GB"/>
              </w:rPr>
              <w:t>No attributable signs and symptoms present at baseline and no symptoms attributable to IFD developed post-baseline</w:t>
            </w:r>
          </w:p>
        </w:tc>
      </w:tr>
      <w:tr w:rsidR="00B80897" w:rsidRPr="00B80897" w:rsidTr="00B80897">
        <w:tc>
          <w:tcPr>
            <w:tcW w:w="1111" w:type="pct"/>
            <w:tcBorders>
              <w:bottom w:val="single" w:sz="4" w:space="0" w:color="auto"/>
            </w:tcBorders>
            <w:shd w:val="clear" w:color="auto" w:fill="FFFFFF"/>
          </w:tcPr>
          <w:p w:rsidR="00B80897" w:rsidRPr="00B80897" w:rsidRDefault="00B80897" w:rsidP="00B80897">
            <w:pPr>
              <w:keepNext/>
              <w:keepLines/>
              <w:spacing w:before="120" w:after="120" w:line="360" w:lineRule="auto"/>
              <w:rPr>
                <w:rFonts w:ascii="Arial" w:eastAsia="MS Mincho" w:hAnsi="Arial" w:cs="Times New Roman"/>
                <w:b/>
                <w:szCs w:val="24"/>
                <w:lang w:val="en-GB"/>
              </w:rPr>
            </w:pPr>
            <w:r w:rsidRPr="00B80897">
              <w:rPr>
                <w:rFonts w:ascii="Arial" w:eastAsia="MS Mincho" w:hAnsi="Arial" w:cs="Times New Roman"/>
                <w:b/>
                <w:szCs w:val="24"/>
                <w:lang w:val="en-GB"/>
              </w:rPr>
              <w:t>Outcome</w:t>
            </w:r>
          </w:p>
        </w:tc>
        <w:tc>
          <w:tcPr>
            <w:tcW w:w="3889" w:type="pct"/>
            <w:tcBorders>
              <w:bottom w:val="single" w:sz="4" w:space="0" w:color="auto"/>
            </w:tcBorders>
            <w:shd w:val="clear" w:color="auto" w:fill="FFFFFF"/>
          </w:tcPr>
          <w:p w:rsidR="00B80897" w:rsidRPr="00B80897" w:rsidRDefault="00B80897" w:rsidP="00B80897">
            <w:pPr>
              <w:keepNext/>
              <w:keepLines/>
              <w:spacing w:before="120" w:after="120" w:line="360" w:lineRule="auto"/>
              <w:ind w:left="331"/>
              <w:rPr>
                <w:rFonts w:ascii="Arial" w:eastAsia="MS Mincho" w:hAnsi="Arial" w:cs="Times New Roman"/>
                <w:b/>
                <w:szCs w:val="24"/>
                <w:lang w:val="en-GB"/>
              </w:rPr>
            </w:pPr>
            <w:r w:rsidRPr="00B80897">
              <w:rPr>
                <w:rFonts w:ascii="Arial" w:eastAsia="MS Mincho" w:hAnsi="Arial" w:cs="Times New Roman"/>
                <w:b/>
                <w:szCs w:val="24"/>
                <w:lang w:val="en-GB"/>
              </w:rPr>
              <w:t>DRC-Assessed Mycological Response</w:t>
            </w:r>
          </w:p>
        </w:tc>
      </w:tr>
      <w:tr w:rsidR="00B80897" w:rsidRPr="00B80897" w:rsidTr="00B80897">
        <w:tc>
          <w:tcPr>
            <w:tcW w:w="1111" w:type="pct"/>
            <w:tcBorders>
              <w:bottom w:val="single" w:sz="4" w:space="0" w:color="auto"/>
            </w:tcBorders>
            <w:shd w:val="clear" w:color="auto" w:fill="FFFFFF"/>
          </w:tcPr>
          <w:p w:rsidR="00B80897" w:rsidRPr="00B80897" w:rsidRDefault="00B80897" w:rsidP="00B80897">
            <w:pPr>
              <w:keepNext/>
              <w:keepLines/>
              <w:spacing w:before="120" w:after="120" w:line="360" w:lineRule="auto"/>
              <w:ind w:left="720" w:hanging="720"/>
              <w:rPr>
                <w:rFonts w:ascii="Arial" w:eastAsia="MS Mincho" w:hAnsi="Arial" w:cs="Times New Roman"/>
                <w:szCs w:val="24"/>
                <w:lang w:val="en-GB"/>
              </w:rPr>
            </w:pPr>
            <w:r w:rsidRPr="00B80897">
              <w:rPr>
                <w:rFonts w:ascii="Arial" w:eastAsia="MS Mincho" w:hAnsi="Arial" w:cs="Times New Roman"/>
                <w:szCs w:val="24"/>
                <w:lang w:val="en-GB"/>
              </w:rPr>
              <w:t>Success</w:t>
            </w:r>
          </w:p>
          <w:p w:rsidR="00B80897" w:rsidRPr="00B80897" w:rsidRDefault="00B80897" w:rsidP="00B80897">
            <w:pPr>
              <w:keepNext/>
              <w:keepLines/>
              <w:spacing w:before="120" w:after="120" w:line="360" w:lineRule="auto"/>
              <w:ind w:left="720" w:hanging="720"/>
              <w:rPr>
                <w:rFonts w:ascii="Arial" w:eastAsia="MS Mincho" w:hAnsi="Arial" w:cs="Times New Roman"/>
                <w:szCs w:val="24"/>
                <w:lang w:val="en-GB"/>
              </w:rPr>
            </w:pPr>
          </w:p>
          <w:p w:rsidR="00B80897" w:rsidRPr="00B80897" w:rsidRDefault="00B80897" w:rsidP="00B80897">
            <w:pPr>
              <w:keepNext/>
              <w:keepLines/>
              <w:spacing w:before="120" w:after="120" w:line="360" w:lineRule="auto"/>
              <w:ind w:left="720" w:hanging="720"/>
              <w:rPr>
                <w:rFonts w:ascii="Arial" w:eastAsia="MS Mincho" w:hAnsi="Arial" w:cs="Times New Roman"/>
                <w:szCs w:val="24"/>
                <w:lang w:val="en-GB"/>
              </w:rPr>
            </w:pPr>
            <w:r w:rsidRPr="00B80897">
              <w:rPr>
                <w:rFonts w:ascii="Arial" w:eastAsia="MS Mincho" w:hAnsi="Arial" w:cs="Times New Roman"/>
                <w:szCs w:val="24"/>
                <w:lang w:val="en-GB"/>
              </w:rPr>
              <w:t>Failure</w:t>
            </w:r>
          </w:p>
          <w:p w:rsidR="00B80897" w:rsidRPr="00B80897" w:rsidRDefault="00B80897" w:rsidP="00B80897">
            <w:pPr>
              <w:keepNext/>
              <w:keepLines/>
              <w:spacing w:before="120" w:after="120" w:line="360" w:lineRule="auto"/>
              <w:ind w:left="720" w:hanging="720"/>
              <w:rPr>
                <w:rFonts w:ascii="Arial" w:eastAsia="MS Mincho" w:hAnsi="Arial" w:cs="Times New Roman"/>
                <w:szCs w:val="24"/>
                <w:lang w:val="en-GB"/>
              </w:rPr>
            </w:pPr>
          </w:p>
          <w:p w:rsidR="00B80897" w:rsidRPr="00B80897" w:rsidRDefault="00B80897" w:rsidP="00B80897">
            <w:pPr>
              <w:keepNext/>
              <w:keepLines/>
              <w:spacing w:before="120" w:after="120" w:line="360" w:lineRule="auto"/>
              <w:ind w:left="720" w:hanging="720"/>
              <w:rPr>
                <w:rFonts w:ascii="Arial" w:eastAsia="MS Mincho" w:hAnsi="Arial" w:cs="Times New Roman"/>
                <w:szCs w:val="24"/>
                <w:lang w:val="en-GB"/>
              </w:rPr>
            </w:pPr>
          </w:p>
          <w:p w:rsidR="00B80897" w:rsidRPr="00B80897" w:rsidRDefault="00B80897" w:rsidP="00B80897">
            <w:pPr>
              <w:keepNext/>
              <w:keepLines/>
              <w:spacing w:before="120" w:after="120" w:line="360" w:lineRule="auto"/>
              <w:ind w:left="720" w:hanging="720"/>
              <w:rPr>
                <w:rFonts w:ascii="Arial" w:eastAsia="MS Mincho" w:hAnsi="Arial" w:cs="Times New Roman"/>
                <w:b/>
                <w:szCs w:val="24"/>
                <w:lang w:val="en-GB"/>
              </w:rPr>
            </w:pPr>
            <w:r w:rsidRPr="00B80897">
              <w:rPr>
                <w:rFonts w:ascii="Arial" w:eastAsia="MS Mincho" w:hAnsi="Arial" w:cs="Times New Roman"/>
                <w:szCs w:val="24"/>
                <w:lang w:val="en-GB"/>
              </w:rPr>
              <w:t>Not applicable</w:t>
            </w:r>
          </w:p>
        </w:tc>
        <w:tc>
          <w:tcPr>
            <w:tcW w:w="3889" w:type="pct"/>
            <w:tcBorders>
              <w:bottom w:val="single" w:sz="4" w:space="0" w:color="auto"/>
            </w:tcBorders>
            <w:shd w:val="clear" w:color="auto" w:fill="FFFFFF"/>
          </w:tcPr>
          <w:p w:rsidR="00B80897" w:rsidRPr="00B80897" w:rsidRDefault="00B80897" w:rsidP="00B80897">
            <w:pPr>
              <w:keepNext/>
              <w:keepLines/>
              <w:numPr>
                <w:ilvl w:val="0"/>
                <w:numId w:val="1"/>
              </w:numPr>
              <w:spacing w:before="120" w:after="0" w:line="360" w:lineRule="auto"/>
              <w:ind w:left="329" w:hanging="284"/>
              <w:rPr>
                <w:rFonts w:ascii="Arial" w:eastAsia="MS Mincho" w:hAnsi="Arial" w:cs="Times New Roman"/>
                <w:szCs w:val="24"/>
                <w:lang w:val="en-GB"/>
              </w:rPr>
            </w:pPr>
            <w:r w:rsidRPr="00B80897">
              <w:rPr>
                <w:rFonts w:ascii="Arial" w:eastAsia="MS Mincho" w:hAnsi="Arial" w:cs="Times New Roman"/>
                <w:szCs w:val="24"/>
                <w:lang w:val="en-GB"/>
              </w:rPr>
              <w:t>Eradication</w:t>
            </w:r>
          </w:p>
          <w:p w:rsidR="00B80897" w:rsidRPr="00B80897" w:rsidRDefault="00B80897" w:rsidP="00B80897">
            <w:pPr>
              <w:keepNext/>
              <w:keepLines/>
              <w:numPr>
                <w:ilvl w:val="0"/>
                <w:numId w:val="1"/>
              </w:numPr>
              <w:spacing w:before="120" w:after="0" w:line="360" w:lineRule="auto"/>
              <w:ind w:left="329" w:hanging="284"/>
              <w:rPr>
                <w:rFonts w:ascii="Arial" w:eastAsia="MS Mincho" w:hAnsi="Arial" w:cs="Times New Roman"/>
                <w:szCs w:val="24"/>
                <w:lang w:val="en-GB"/>
              </w:rPr>
            </w:pPr>
            <w:r w:rsidRPr="00B80897">
              <w:rPr>
                <w:rFonts w:ascii="Arial" w:eastAsia="MS Mincho" w:hAnsi="Arial" w:cs="Times New Roman"/>
                <w:szCs w:val="24"/>
                <w:lang w:val="en-GB"/>
              </w:rPr>
              <w:t>Presumed eradication</w:t>
            </w:r>
          </w:p>
          <w:p w:rsidR="00B80897" w:rsidRPr="00B80897" w:rsidRDefault="00B80897" w:rsidP="00B80897">
            <w:pPr>
              <w:keepNext/>
              <w:keepLines/>
              <w:numPr>
                <w:ilvl w:val="0"/>
                <w:numId w:val="1"/>
              </w:numPr>
              <w:spacing w:before="120" w:after="0" w:line="360" w:lineRule="auto"/>
              <w:ind w:left="329" w:hanging="284"/>
              <w:rPr>
                <w:rFonts w:ascii="Arial" w:eastAsia="MS Mincho" w:hAnsi="Arial" w:cs="Times New Roman"/>
                <w:szCs w:val="24"/>
                <w:lang w:val="en-GB"/>
              </w:rPr>
            </w:pPr>
            <w:r w:rsidRPr="00B80897">
              <w:rPr>
                <w:rFonts w:ascii="Arial" w:eastAsia="MS Mincho" w:hAnsi="Arial" w:cs="Times New Roman"/>
                <w:szCs w:val="24"/>
                <w:lang w:val="en-GB"/>
              </w:rPr>
              <w:t>Persistence</w:t>
            </w:r>
          </w:p>
          <w:p w:rsidR="00B80897" w:rsidRPr="00B80897" w:rsidRDefault="00B80897" w:rsidP="00B80897">
            <w:pPr>
              <w:keepNext/>
              <w:keepLines/>
              <w:numPr>
                <w:ilvl w:val="0"/>
                <w:numId w:val="1"/>
              </w:numPr>
              <w:spacing w:before="120" w:after="0" w:line="360" w:lineRule="auto"/>
              <w:ind w:left="329" w:hanging="284"/>
              <w:rPr>
                <w:rFonts w:ascii="Arial" w:eastAsia="MS Mincho" w:hAnsi="Arial" w:cs="Times New Roman"/>
                <w:szCs w:val="24"/>
                <w:lang w:val="en-GB"/>
              </w:rPr>
            </w:pPr>
            <w:r w:rsidRPr="00B80897">
              <w:rPr>
                <w:rFonts w:ascii="Arial" w:eastAsia="MS Mincho" w:hAnsi="Arial" w:cs="Times New Roman"/>
                <w:szCs w:val="24"/>
                <w:lang w:val="en-GB"/>
              </w:rPr>
              <w:t xml:space="preserve">Presumed persistence </w:t>
            </w:r>
          </w:p>
          <w:p w:rsidR="00B80897" w:rsidRPr="00B80897" w:rsidRDefault="00B80897" w:rsidP="00B80897">
            <w:pPr>
              <w:keepNext/>
              <w:keepLines/>
              <w:numPr>
                <w:ilvl w:val="0"/>
                <w:numId w:val="1"/>
              </w:numPr>
              <w:spacing w:before="120" w:after="0" w:line="360" w:lineRule="auto"/>
              <w:ind w:left="329" w:hanging="284"/>
              <w:rPr>
                <w:rFonts w:ascii="Arial" w:eastAsia="MS Mincho" w:hAnsi="Arial" w:cs="Times New Roman"/>
                <w:szCs w:val="24"/>
                <w:lang w:val="en-GB"/>
              </w:rPr>
            </w:pPr>
            <w:r w:rsidRPr="00B80897">
              <w:rPr>
                <w:rFonts w:ascii="Arial" w:eastAsia="MS Mincho" w:hAnsi="Arial" w:cs="Times New Roman"/>
                <w:szCs w:val="24"/>
                <w:lang w:val="en-GB"/>
              </w:rPr>
              <w:t>Not done or missing</w:t>
            </w:r>
          </w:p>
          <w:p w:rsidR="00B80897" w:rsidRPr="00B80897" w:rsidRDefault="00B80897" w:rsidP="00B80897">
            <w:pPr>
              <w:keepNext/>
              <w:keepLines/>
              <w:numPr>
                <w:ilvl w:val="0"/>
                <w:numId w:val="1"/>
              </w:numPr>
              <w:spacing w:before="120" w:after="0" w:line="360" w:lineRule="auto"/>
              <w:ind w:left="329" w:hanging="284"/>
              <w:rPr>
                <w:rFonts w:ascii="Arial" w:eastAsia="MS Mincho" w:hAnsi="Arial" w:cs="Times New Roman"/>
                <w:szCs w:val="24"/>
                <w:lang w:val="en-GB"/>
              </w:rPr>
            </w:pPr>
            <w:r w:rsidRPr="00B80897">
              <w:rPr>
                <w:rFonts w:ascii="Arial" w:eastAsia="MS Mincho" w:hAnsi="Arial" w:cs="Times New Roman"/>
                <w:szCs w:val="24"/>
                <w:lang w:val="en-GB"/>
              </w:rPr>
              <w:t>No mycological evidence available at baseline</w:t>
            </w:r>
          </w:p>
        </w:tc>
      </w:tr>
    </w:tbl>
    <w:p w:rsidR="00B80897" w:rsidRPr="00B80897" w:rsidRDefault="00B80897" w:rsidP="00B80897">
      <w:pPr>
        <w:rPr>
          <w:rFonts w:ascii="Arial" w:eastAsia="Calibri" w:hAnsi="Arial" w:cs="Times New Roman"/>
          <w:b/>
        </w:rPr>
      </w:pPr>
    </w:p>
    <w:p w:rsidR="00B80897" w:rsidRPr="00B80897" w:rsidRDefault="00B80897" w:rsidP="00B80897">
      <w:pPr>
        <w:spacing w:line="276" w:lineRule="auto"/>
        <w:outlineLvl w:val="0"/>
        <w:rPr>
          <w:rFonts w:ascii="Arial" w:eastAsia="Calibri" w:hAnsi="Arial" w:cs="Times New Roman"/>
          <w:b/>
        </w:rPr>
      </w:pPr>
      <w:r w:rsidRPr="00B80897">
        <w:rPr>
          <w:rFonts w:ascii="Arial" w:eastAsia="Calibri" w:hAnsi="Arial" w:cs="Times New Roman"/>
          <w:b/>
        </w:rPr>
        <w:br w:type="page"/>
      </w:r>
      <w:r w:rsidRPr="00B80897">
        <w:rPr>
          <w:rFonts w:ascii="Arial" w:eastAsia="Calibri" w:hAnsi="Arial" w:cs="Times New Roman"/>
          <w:b/>
        </w:rPr>
        <w:lastRenderedPageBreak/>
        <w:t xml:space="preserve"> </w:t>
      </w:r>
    </w:p>
    <w:p w:rsidR="00B80897" w:rsidRPr="00B80897" w:rsidRDefault="00B80897" w:rsidP="00B80897">
      <w:pPr>
        <w:spacing w:after="0"/>
        <w:outlineLvl w:val="0"/>
        <w:rPr>
          <w:rFonts w:ascii="Arial" w:eastAsia="Calibri" w:hAnsi="Arial" w:cs="Arial"/>
          <w:sz w:val="24"/>
          <w:szCs w:val="24"/>
        </w:rPr>
      </w:pPr>
      <w:r w:rsidRPr="00B80897">
        <w:rPr>
          <w:rFonts w:ascii="Arial" w:eastAsia="Calibri" w:hAnsi="Arial" w:cs="Arial"/>
          <w:b/>
          <w:sz w:val="24"/>
          <w:szCs w:val="24"/>
        </w:rPr>
        <w:t>Figure S1.</w:t>
      </w:r>
      <w:r w:rsidRPr="00B80897">
        <w:rPr>
          <w:rFonts w:ascii="Arial" w:eastAsia="Calibri" w:hAnsi="Arial" w:cs="Arial"/>
          <w:sz w:val="24"/>
          <w:szCs w:val="24"/>
        </w:rPr>
        <w:t xml:space="preserve"> Overall response rate at EOIVT versus APACHE II Score</w:t>
      </w:r>
    </w:p>
    <w:p w:rsidR="00B80897" w:rsidRPr="00B80897" w:rsidRDefault="00B80897" w:rsidP="00B80897">
      <w:pPr>
        <w:spacing w:after="120" w:line="360" w:lineRule="auto"/>
        <w:rPr>
          <w:rFonts w:ascii="Arial" w:eastAsia="Calibri" w:hAnsi="Arial" w:cs="Arial"/>
          <w:sz w:val="20"/>
          <w:szCs w:val="24"/>
        </w:rPr>
      </w:pPr>
      <w:r w:rsidRPr="00B80897">
        <w:rPr>
          <w:rFonts w:ascii="Arial" w:eastAsia="Calibri" w:hAnsi="Arial" w:cs="Arial"/>
          <w:noProof/>
          <w:sz w:val="20"/>
          <w:szCs w:val="24"/>
          <w:lang w:val="en-GB" w:eastAsia="en-GB" w:bidi="th-TH"/>
        </w:rPr>
        <w:drawing>
          <wp:inline distT="0" distB="0" distL="0" distR="0" wp14:anchorId="7109CFBA" wp14:editId="2073133A">
            <wp:extent cx="5967984" cy="4315968"/>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CTIVE Figure S1 Overall response rate.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67984" cy="4315968"/>
                    </a:xfrm>
                    <a:prstGeom prst="rect">
                      <a:avLst/>
                    </a:prstGeom>
                  </pic:spPr>
                </pic:pic>
              </a:graphicData>
            </a:graphic>
          </wp:inline>
        </w:drawing>
      </w:r>
    </w:p>
    <w:p w:rsidR="00B80897" w:rsidRPr="00B80897" w:rsidRDefault="00B80897" w:rsidP="00B80897">
      <w:pPr>
        <w:rPr>
          <w:rFonts w:ascii="Arial" w:eastAsia="Calibri" w:hAnsi="Arial" w:cs="Times New Roman"/>
          <w:sz w:val="20"/>
          <w:szCs w:val="24"/>
        </w:rPr>
      </w:pPr>
      <w:r w:rsidRPr="00B80897">
        <w:rPr>
          <w:rFonts w:ascii="Arial" w:eastAsia="Calibri" w:hAnsi="Arial" w:cs="Times New Roman"/>
          <w:sz w:val="20"/>
          <w:szCs w:val="24"/>
        </w:rPr>
        <w:t>The success rate is plotted with the same APACHE II score +/- 5 points and is not shown if there are less than 10 patients in either treatment group</w:t>
      </w:r>
    </w:p>
    <w:p w:rsidR="00B80897" w:rsidRPr="00B80897" w:rsidRDefault="00B80897" w:rsidP="00B80897">
      <w:pPr>
        <w:rPr>
          <w:rFonts w:ascii="Arial" w:eastAsia="Calibri" w:hAnsi="Arial" w:cs="Times New Roman"/>
          <w:sz w:val="20"/>
          <w:szCs w:val="24"/>
        </w:rPr>
      </w:pPr>
      <w:r w:rsidRPr="00B80897">
        <w:rPr>
          <w:rFonts w:ascii="Arial" w:eastAsia="Calibri" w:hAnsi="Arial" w:cs="Times New Roman"/>
          <w:sz w:val="20"/>
          <w:szCs w:val="24"/>
        </w:rPr>
        <w:t>EOIVT, end of intravenous treatment; APACHE II, Acute Physiology and Chronic Health Evaluation II</w:t>
      </w:r>
    </w:p>
    <w:p w:rsidR="00B80897" w:rsidRPr="00B80897" w:rsidRDefault="00B80897" w:rsidP="00B80897">
      <w:pPr>
        <w:outlineLvl w:val="0"/>
        <w:rPr>
          <w:rFonts w:ascii="Arial" w:eastAsia="Calibri" w:hAnsi="Arial" w:cs="Times New Roman"/>
          <w:b/>
          <w:szCs w:val="20"/>
        </w:rPr>
      </w:pPr>
      <w:r w:rsidRPr="00B80897">
        <w:rPr>
          <w:rFonts w:ascii="Arial" w:eastAsia="Calibri" w:hAnsi="Arial" w:cs="Times New Roman"/>
          <w:b/>
          <w:szCs w:val="20"/>
        </w:rPr>
        <w:br/>
      </w:r>
    </w:p>
    <w:p w:rsidR="00B80897" w:rsidRPr="00B80897" w:rsidRDefault="00B80897" w:rsidP="00B80897">
      <w:pPr>
        <w:spacing w:line="276" w:lineRule="auto"/>
        <w:rPr>
          <w:rFonts w:ascii="Arial" w:eastAsia="Calibri" w:hAnsi="Arial" w:cs="Times New Roman"/>
          <w:b/>
          <w:szCs w:val="20"/>
        </w:rPr>
      </w:pPr>
      <w:r w:rsidRPr="00B80897">
        <w:rPr>
          <w:rFonts w:ascii="Arial" w:eastAsia="Calibri" w:hAnsi="Arial" w:cs="Times New Roman"/>
          <w:b/>
          <w:szCs w:val="20"/>
        </w:rPr>
        <w:br w:type="page"/>
      </w:r>
    </w:p>
    <w:p w:rsidR="00B80897" w:rsidRPr="00B80897" w:rsidRDefault="00B80897" w:rsidP="00B80897">
      <w:pPr>
        <w:rPr>
          <w:rFonts w:ascii="Arial" w:eastAsia="Calibri" w:hAnsi="Arial" w:cs="Times New Roman"/>
          <w:b/>
          <w:szCs w:val="24"/>
        </w:rPr>
      </w:pPr>
      <w:r w:rsidRPr="00B80897">
        <w:rPr>
          <w:rFonts w:ascii="Arial" w:eastAsia="Calibri" w:hAnsi="Arial" w:cs="Times New Roman"/>
          <w:b/>
          <w:szCs w:val="24"/>
        </w:rPr>
        <w:lastRenderedPageBreak/>
        <w:t xml:space="preserve">Figure S2. </w:t>
      </w:r>
      <w:r w:rsidRPr="00B80897">
        <w:rPr>
          <w:rFonts w:ascii="Arial" w:eastAsia="Calibri" w:hAnsi="Arial" w:cs="Times New Roman"/>
          <w:bCs/>
          <w:szCs w:val="24"/>
          <w:lang w:val="en-GB"/>
        </w:rPr>
        <w:t>Time to First Confirmed Negative Blood Culture (mITT patients with candidemia only)</w:t>
      </w:r>
    </w:p>
    <w:p w:rsidR="00B80897" w:rsidRPr="00B80897" w:rsidRDefault="00B80897" w:rsidP="00B80897">
      <w:pPr>
        <w:rPr>
          <w:rFonts w:ascii="Arial" w:eastAsia="Calibri" w:hAnsi="Arial" w:cs="Times New Roman"/>
          <w:b/>
          <w:szCs w:val="24"/>
        </w:rPr>
      </w:pPr>
      <w:r w:rsidRPr="00B80897">
        <w:rPr>
          <w:rFonts w:ascii="Arial" w:eastAsia="Calibri" w:hAnsi="Arial" w:cs="Times New Roman"/>
          <w:b/>
          <w:noProof/>
          <w:szCs w:val="24"/>
          <w:lang w:val="en-GB" w:eastAsia="en-GB" w:bidi="th-TH"/>
        </w:rPr>
        <w:drawing>
          <wp:inline distT="0" distB="0" distL="0" distR="0" wp14:anchorId="79B55249" wp14:editId="3C22BFE4">
            <wp:extent cx="6116955" cy="44310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me to negative blood culture.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16955" cy="4431030"/>
                    </a:xfrm>
                    <a:prstGeom prst="rect">
                      <a:avLst/>
                    </a:prstGeom>
                  </pic:spPr>
                </pic:pic>
              </a:graphicData>
            </a:graphic>
          </wp:inline>
        </w:drawing>
      </w:r>
    </w:p>
    <w:p w:rsidR="00B80897" w:rsidRPr="00B80897" w:rsidRDefault="00B80897" w:rsidP="00B80897">
      <w:pPr>
        <w:rPr>
          <w:rFonts w:ascii="Arial" w:eastAsia="Calibri" w:hAnsi="Arial" w:cs="Times New Roman"/>
          <w:szCs w:val="24"/>
        </w:rPr>
      </w:pPr>
      <w:r w:rsidRPr="00B80897">
        <w:rPr>
          <w:rFonts w:ascii="Arial" w:eastAsia="Calibri" w:hAnsi="Arial" w:cs="Times New Roman"/>
          <w:szCs w:val="24"/>
        </w:rPr>
        <w:t>Patients were censored on their last visit day, represented by the circles.</w:t>
      </w:r>
    </w:p>
    <w:p w:rsidR="00B80897" w:rsidRPr="00B80897" w:rsidRDefault="00B80897" w:rsidP="00B80897">
      <w:pPr>
        <w:spacing w:after="0"/>
        <w:rPr>
          <w:rFonts w:ascii="Arial" w:eastAsia="Calibri" w:hAnsi="Arial" w:cs="Times New Roman"/>
          <w:sz w:val="20"/>
          <w:szCs w:val="20"/>
        </w:rPr>
      </w:pPr>
      <w:r w:rsidRPr="00B80897">
        <w:rPr>
          <w:rFonts w:ascii="Arial" w:eastAsia="Calibri" w:hAnsi="Arial" w:cs="Times New Roman"/>
          <w:sz w:val="20"/>
          <w:szCs w:val="20"/>
        </w:rPr>
        <w:t>Abbreviation: mITT, modified intent to treat.</w:t>
      </w:r>
    </w:p>
    <w:p w:rsidR="00B80897" w:rsidRPr="00B80897" w:rsidRDefault="00B80897" w:rsidP="00B80897">
      <w:pPr>
        <w:spacing w:line="276" w:lineRule="auto"/>
        <w:rPr>
          <w:rFonts w:ascii="Arial" w:eastAsia="Calibri" w:hAnsi="Arial" w:cs="Times New Roman"/>
          <w:b/>
          <w:szCs w:val="20"/>
        </w:rPr>
      </w:pPr>
      <w:r w:rsidRPr="00B80897">
        <w:rPr>
          <w:rFonts w:ascii="Arial" w:eastAsia="Calibri" w:hAnsi="Arial" w:cs="Times New Roman"/>
          <w:b/>
          <w:szCs w:val="20"/>
        </w:rPr>
        <w:br w:type="page"/>
      </w:r>
    </w:p>
    <w:p w:rsidR="00B80897" w:rsidRPr="00B80897" w:rsidRDefault="00B80897" w:rsidP="00B80897">
      <w:pPr>
        <w:outlineLvl w:val="0"/>
        <w:rPr>
          <w:rFonts w:ascii="Arial" w:eastAsia="Calibri" w:hAnsi="Arial" w:cs="Times New Roman"/>
          <w:b/>
          <w:szCs w:val="20"/>
        </w:rPr>
      </w:pPr>
      <w:r w:rsidRPr="00B80897">
        <w:rPr>
          <w:rFonts w:ascii="Arial" w:eastAsia="Calibri" w:hAnsi="Arial" w:cs="Times New Roman"/>
          <w:b/>
          <w:szCs w:val="20"/>
        </w:rPr>
        <w:lastRenderedPageBreak/>
        <w:t xml:space="preserve">Table S2. </w:t>
      </w:r>
      <w:r w:rsidRPr="00B80897">
        <w:rPr>
          <w:rFonts w:ascii="Arial" w:eastAsia="Calibri" w:hAnsi="Arial" w:cs="Times New Roman"/>
          <w:szCs w:val="20"/>
        </w:rPr>
        <w:t xml:space="preserve">MIC Values for Baseline </w:t>
      </w:r>
      <w:r w:rsidRPr="00B80897">
        <w:rPr>
          <w:rFonts w:ascii="Arial" w:eastAsia="Calibri" w:hAnsi="Arial" w:cs="Times New Roman"/>
          <w:i/>
          <w:szCs w:val="20"/>
        </w:rPr>
        <w:t xml:space="preserve">Candida </w:t>
      </w:r>
      <w:r w:rsidRPr="00B80897">
        <w:rPr>
          <w:rFonts w:ascii="Arial" w:eastAsia="Calibri" w:hAnsi="Arial" w:cs="Times New Roman"/>
          <w:szCs w:val="20"/>
        </w:rPr>
        <w:t>spp. Isolates per CLSI Standard (mITT Population)</w:t>
      </w:r>
    </w:p>
    <w:tbl>
      <w:tblPr>
        <w:tblStyle w:val="TableGrid1"/>
        <w:tblW w:w="4944"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678"/>
        <w:gridCol w:w="1550"/>
        <w:gridCol w:w="1436"/>
        <w:gridCol w:w="1519"/>
        <w:gridCol w:w="1519"/>
        <w:gridCol w:w="1436"/>
      </w:tblGrid>
      <w:tr w:rsidR="00B80897" w:rsidRPr="00B80897" w:rsidTr="00C649A0">
        <w:tc>
          <w:tcPr>
            <w:tcW w:w="918" w:type="pct"/>
            <w:tcBorders>
              <w:bottom w:val="single" w:sz="4" w:space="0" w:color="auto"/>
            </w:tcBorders>
          </w:tcPr>
          <w:p w:rsidR="00B80897" w:rsidRPr="00B80897" w:rsidRDefault="00B80897" w:rsidP="00B80897">
            <w:pPr>
              <w:spacing w:after="0"/>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Organism</w:t>
            </w:r>
          </w:p>
          <w:p w:rsidR="00B80897" w:rsidRPr="00B80897" w:rsidRDefault="00B80897" w:rsidP="00B80897">
            <w:pPr>
              <w:spacing w:after="0"/>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Genus spp. (no of isolates)</w:t>
            </w:r>
          </w:p>
        </w:tc>
        <w:tc>
          <w:tcPr>
            <w:tcW w:w="848" w:type="pct"/>
            <w:tcBorders>
              <w:bottom w:val="single" w:sz="4" w:space="0" w:color="auto"/>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 xml:space="preserve">MIC </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(µg/mL)</w:t>
            </w:r>
          </w:p>
        </w:tc>
        <w:tc>
          <w:tcPr>
            <w:tcW w:w="786" w:type="pct"/>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Caspofungin</w:t>
            </w:r>
          </w:p>
        </w:tc>
        <w:tc>
          <w:tcPr>
            <w:tcW w:w="831" w:type="pct"/>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Fluconazole</w:t>
            </w:r>
          </w:p>
        </w:tc>
        <w:tc>
          <w:tcPr>
            <w:tcW w:w="831" w:type="pct"/>
            <w:tcBorders>
              <w:bottom w:val="single" w:sz="4" w:space="0" w:color="auto"/>
            </w:tcBorders>
          </w:tcPr>
          <w:p w:rsidR="00B80897" w:rsidRPr="00B80897" w:rsidRDefault="00B80897" w:rsidP="00B80897">
            <w:pPr>
              <w:spacing w:after="0"/>
              <w:ind w:right="216"/>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Isavuconazole</w:t>
            </w:r>
          </w:p>
        </w:tc>
        <w:tc>
          <w:tcPr>
            <w:tcW w:w="786" w:type="pct"/>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Voriconazole</w:t>
            </w:r>
          </w:p>
        </w:tc>
      </w:tr>
      <w:tr w:rsidR="00B80897" w:rsidRPr="00B80897" w:rsidTr="00C649A0">
        <w:tc>
          <w:tcPr>
            <w:tcW w:w="918" w:type="pct"/>
            <w:tcBorders>
              <w:bottom w:val="single" w:sz="4" w:space="0" w:color="auto"/>
            </w:tcBorders>
          </w:tcPr>
          <w:p w:rsidR="00B80897" w:rsidRPr="00B80897" w:rsidRDefault="00B80897" w:rsidP="00B80897">
            <w:pPr>
              <w:spacing w:after="0"/>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Isavuconazole</w:t>
            </w:r>
          </w:p>
        </w:tc>
        <w:tc>
          <w:tcPr>
            <w:tcW w:w="848" w:type="pct"/>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786" w:type="pct"/>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831" w:type="pct"/>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831" w:type="pct"/>
            <w:tcBorders>
              <w:bottom w:val="single" w:sz="4" w:space="0" w:color="auto"/>
            </w:tcBorders>
          </w:tcPr>
          <w:p w:rsidR="00B80897" w:rsidRPr="00B80897" w:rsidRDefault="00B80897" w:rsidP="00B80897">
            <w:pPr>
              <w:spacing w:after="0"/>
              <w:ind w:right="216"/>
              <w:jc w:val="center"/>
              <w:outlineLvl w:val="0"/>
              <w:rPr>
                <w:rFonts w:ascii="Calibri" w:eastAsia="Calibri" w:hAnsi="Calibri" w:cs="Times New Roman"/>
                <w:sz w:val="18"/>
                <w:szCs w:val="20"/>
                <w:lang w:val="en-GB"/>
              </w:rPr>
            </w:pPr>
          </w:p>
        </w:tc>
        <w:tc>
          <w:tcPr>
            <w:tcW w:w="786" w:type="pct"/>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r>
      <w:tr w:rsidR="00B80897" w:rsidRPr="00B80897" w:rsidTr="00C649A0">
        <w:tc>
          <w:tcPr>
            <w:tcW w:w="918" w:type="pct"/>
            <w:tcBorders>
              <w:top w:val="single" w:sz="4" w:space="0" w:color="auto"/>
              <w:bottom w:val="nil"/>
            </w:tcBorders>
          </w:tcPr>
          <w:p w:rsidR="00B80897" w:rsidRPr="00B80897" w:rsidRDefault="00B80897" w:rsidP="00B80897">
            <w:pPr>
              <w:spacing w:after="0"/>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 xml:space="preserve">All </w:t>
            </w:r>
            <w:r w:rsidRPr="00B80897">
              <w:rPr>
                <w:rFonts w:ascii="Arial" w:eastAsia="Calibri" w:hAnsi="Arial" w:cs="Times New Roman"/>
                <w:i/>
                <w:sz w:val="18"/>
                <w:szCs w:val="20"/>
                <w:lang w:val="en-GB"/>
              </w:rPr>
              <w:t xml:space="preserve">Candida spp. </w:t>
            </w:r>
            <w:r w:rsidRPr="00B80897">
              <w:rPr>
                <w:rFonts w:ascii="Arial" w:eastAsia="Calibri" w:hAnsi="Arial" w:cs="Times New Roman"/>
                <w:sz w:val="18"/>
                <w:szCs w:val="20"/>
                <w:lang w:val="en-GB"/>
              </w:rPr>
              <w:t>Isolates (359)</w:t>
            </w:r>
          </w:p>
        </w:tc>
        <w:tc>
          <w:tcPr>
            <w:tcW w:w="848" w:type="pct"/>
            <w:tcBorders>
              <w:top w:val="single" w:sz="4" w:space="0" w:color="auto"/>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single" w:sz="4" w:space="0" w:color="auto"/>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0.03–2</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831" w:type="pct"/>
            <w:tcBorders>
              <w:top w:val="single" w:sz="4" w:space="0" w:color="auto"/>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0.06–256</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4</w:t>
            </w:r>
          </w:p>
        </w:tc>
        <w:tc>
          <w:tcPr>
            <w:tcW w:w="831" w:type="pct"/>
            <w:tcBorders>
              <w:top w:val="single" w:sz="4" w:space="0" w:color="auto"/>
              <w:bottom w:val="nil"/>
            </w:tcBorders>
          </w:tcPr>
          <w:p w:rsidR="00B80897" w:rsidRPr="00B80897" w:rsidRDefault="00B80897" w:rsidP="00B80897">
            <w:pPr>
              <w:spacing w:after="0"/>
              <w:ind w:right="216"/>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0.0005–0.25</w:t>
            </w:r>
          </w:p>
          <w:p w:rsidR="00B80897" w:rsidRPr="00B80897" w:rsidRDefault="00B80897" w:rsidP="00B80897">
            <w:pPr>
              <w:spacing w:after="0"/>
              <w:ind w:right="216"/>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0.03</w:t>
            </w:r>
          </w:p>
        </w:tc>
        <w:tc>
          <w:tcPr>
            <w:tcW w:w="786" w:type="pct"/>
            <w:tcBorders>
              <w:top w:val="single" w:sz="4" w:space="0" w:color="auto"/>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0.06</w:t>
            </w:r>
          </w:p>
        </w:tc>
      </w:tr>
      <w:tr w:rsidR="00B80897" w:rsidRPr="00B80897" w:rsidTr="00C649A0">
        <w:tc>
          <w:tcPr>
            <w:tcW w:w="918" w:type="pct"/>
            <w:tcBorders>
              <w:top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C. albicans</w:t>
            </w:r>
            <w:r w:rsidRPr="00B80897">
              <w:rPr>
                <w:rFonts w:ascii="Arial" w:eastAsia="Calibri" w:hAnsi="Arial" w:cs="Times New Roman"/>
                <w:sz w:val="18"/>
                <w:szCs w:val="20"/>
                <w:lang w:val="en-GB"/>
              </w:rPr>
              <w:t xml:space="preserve"> (157)</w:t>
            </w:r>
          </w:p>
        </w:tc>
        <w:tc>
          <w:tcPr>
            <w:tcW w:w="848"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0.06–4</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2</w:t>
            </w:r>
          </w:p>
        </w:tc>
        <w:tc>
          <w:tcPr>
            <w:tcW w:w="831" w:type="pct"/>
            <w:tcBorders>
              <w:top w:val="nil"/>
              <w:bottom w:val="nil"/>
            </w:tcBorders>
          </w:tcPr>
          <w:p w:rsidR="00B80897" w:rsidRPr="00B80897" w:rsidRDefault="00B80897" w:rsidP="00B80897">
            <w:pPr>
              <w:spacing w:after="0"/>
              <w:ind w:right="216"/>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0.0005–0.016</w:t>
            </w:r>
          </w:p>
          <w:p w:rsidR="00B80897" w:rsidRPr="00B80897" w:rsidRDefault="00B80897" w:rsidP="00B80897">
            <w:pPr>
              <w:spacing w:after="0"/>
              <w:ind w:right="216"/>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0.004</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0.001–0.06</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0.008</w:t>
            </w:r>
          </w:p>
        </w:tc>
      </w:tr>
      <w:tr w:rsidR="00B80897" w:rsidRPr="00B80897" w:rsidTr="00C649A0">
        <w:tc>
          <w:tcPr>
            <w:tcW w:w="918" w:type="pct"/>
            <w:tcBorders>
              <w:top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glabrata </w:t>
            </w:r>
            <w:r w:rsidRPr="00B80897">
              <w:rPr>
                <w:rFonts w:ascii="Arial" w:eastAsia="Calibri" w:hAnsi="Arial" w:cs="Times New Roman"/>
                <w:sz w:val="18"/>
                <w:szCs w:val="20"/>
                <w:lang w:val="en-GB"/>
              </w:rPr>
              <w:t>(43)</w:t>
            </w:r>
          </w:p>
        </w:tc>
        <w:tc>
          <w:tcPr>
            <w:tcW w:w="848"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0.25–1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0.125–32</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16</w:t>
            </w:r>
          </w:p>
        </w:tc>
        <w:tc>
          <w:tcPr>
            <w:tcW w:w="831" w:type="pct"/>
            <w:tcBorders>
              <w:top w:val="nil"/>
              <w:bottom w:val="nil"/>
            </w:tcBorders>
          </w:tcPr>
          <w:p w:rsidR="00B80897" w:rsidRPr="00B80897" w:rsidRDefault="00B80897" w:rsidP="00B80897">
            <w:pPr>
              <w:spacing w:after="0"/>
              <w:ind w:right="216"/>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0.002–0.25</w:t>
            </w:r>
          </w:p>
          <w:p w:rsidR="00B80897" w:rsidRPr="00B80897" w:rsidRDefault="00B80897" w:rsidP="00B80897">
            <w:pPr>
              <w:spacing w:after="0"/>
              <w:ind w:right="216"/>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0.125</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0.004–0.5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r>
      <w:tr w:rsidR="00B80897" w:rsidRPr="00B80897" w:rsidTr="00C649A0">
        <w:tc>
          <w:tcPr>
            <w:tcW w:w="918" w:type="pct"/>
            <w:tcBorders>
              <w:top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inconspicua </w:t>
            </w:r>
            <w:r w:rsidRPr="00B80897">
              <w:rPr>
                <w:rFonts w:ascii="Arial" w:eastAsia="Calibri" w:hAnsi="Arial" w:cs="Times New Roman"/>
                <w:sz w:val="18"/>
                <w:szCs w:val="20"/>
                <w:lang w:val="en-GB"/>
              </w:rPr>
              <w:t>(20)</w:t>
            </w:r>
          </w:p>
        </w:tc>
        <w:tc>
          <w:tcPr>
            <w:tcW w:w="848"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0.25</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4–8</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8</w:t>
            </w:r>
          </w:p>
        </w:tc>
        <w:tc>
          <w:tcPr>
            <w:tcW w:w="831" w:type="pct"/>
            <w:tcBorders>
              <w:top w:val="nil"/>
              <w:bottom w:val="nil"/>
            </w:tcBorders>
          </w:tcPr>
          <w:p w:rsidR="00B80897" w:rsidRPr="00B80897" w:rsidRDefault="00B80897" w:rsidP="00B80897">
            <w:pPr>
              <w:spacing w:after="0"/>
              <w:ind w:right="216"/>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0.016–0.06</w:t>
            </w:r>
          </w:p>
          <w:p w:rsidR="00B80897" w:rsidRPr="00B80897" w:rsidRDefault="00B80897" w:rsidP="00B80897">
            <w:pPr>
              <w:spacing w:after="0"/>
              <w:ind w:right="216"/>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0.016</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0.016–0.06</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0.06</w:t>
            </w:r>
          </w:p>
        </w:tc>
      </w:tr>
      <w:tr w:rsidR="00B80897" w:rsidRPr="00B80897" w:rsidTr="00C649A0">
        <w:tc>
          <w:tcPr>
            <w:tcW w:w="918" w:type="pct"/>
            <w:tcBorders>
              <w:top w:val="nil"/>
              <w:bottom w:val="nil"/>
            </w:tcBorders>
          </w:tcPr>
          <w:p w:rsidR="00B80897" w:rsidRPr="00B80897" w:rsidRDefault="00B80897" w:rsidP="00B80897">
            <w:pPr>
              <w:spacing w:after="0"/>
              <w:ind w:left="227"/>
              <w:outlineLvl w:val="0"/>
              <w:rPr>
                <w:rFonts w:ascii="Arial" w:eastAsia="Calibri" w:hAnsi="Arial" w:cs="Times New Roman"/>
                <w:sz w:val="18"/>
                <w:szCs w:val="20"/>
                <w:lang w:val="en-GB"/>
              </w:rPr>
            </w:pPr>
            <w:r w:rsidRPr="00B80897">
              <w:rPr>
                <w:rFonts w:ascii="Arial" w:eastAsia="Calibri" w:hAnsi="Arial" w:cs="Times New Roman"/>
                <w:i/>
                <w:sz w:val="18"/>
                <w:szCs w:val="20"/>
                <w:lang w:val="en-GB"/>
              </w:rPr>
              <w:t xml:space="preserve">C. krusei </w:t>
            </w:r>
            <w:r w:rsidRPr="00B80897">
              <w:rPr>
                <w:rFonts w:ascii="Arial" w:eastAsia="Calibri" w:hAnsi="Arial" w:cs="Times New Roman"/>
                <w:sz w:val="18"/>
                <w:szCs w:val="20"/>
                <w:lang w:val="en-GB"/>
              </w:rPr>
              <w:t>(7)</w:t>
            </w:r>
          </w:p>
        </w:tc>
        <w:tc>
          <w:tcPr>
            <w:tcW w:w="848"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0.5–1</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4–32</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831" w:type="pct"/>
            <w:tcBorders>
              <w:top w:val="nil"/>
              <w:bottom w:val="nil"/>
            </w:tcBorders>
          </w:tcPr>
          <w:p w:rsidR="00B80897" w:rsidRPr="00B80897" w:rsidRDefault="00B80897" w:rsidP="00B80897">
            <w:pPr>
              <w:spacing w:after="0"/>
              <w:ind w:right="216"/>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0.008–0.06</w:t>
            </w:r>
          </w:p>
          <w:p w:rsidR="00B80897" w:rsidRPr="00B80897" w:rsidRDefault="00B80897" w:rsidP="00B80897">
            <w:pPr>
              <w:spacing w:after="0"/>
              <w:ind w:right="216"/>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0.03–0.125</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r>
      <w:tr w:rsidR="00B80897" w:rsidRPr="00B80897" w:rsidTr="00C649A0">
        <w:tc>
          <w:tcPr>
            <w:tcW w:w="918" w:type="pct"/>
            <w:tcBorders>
              <w:top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C. parapsilosis</w:t>
            </w:r>
            <w:r w:rsidRPr="00B80897">
              <w:rPr>
                <w:rFonts w:ascii="Arial" w:eastAsia="Calibri" w:hAnsi="Arial" w:cs="Times New Roman"/>
                <w:sz w:val="18"/>
                <w:szCs w:val="20"/>
                <w:lang w:val="en-GB"/>
              </w:rPr>
              <w:t xml:space="preserve"> (43)</w:t>
            </w:r>
          </w:p>
        </w:tc>
        <w:tc>
          <w:tcPr>
            <w:tcW w:w="848"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0.06–2</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1</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0.06–256</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2</w:t>
            </w:r>
          </w:p>
        </w:tc>
        <w:tc>
          <w:tcPr>
            <w:tcW w:w="831" w:type="pct"/>
            <w:tcBorders>
              <w:top w:val="nil"/>
              <w:bottom w:val="nil"/>
            </w:tcBorders>
          </w:tcPr>
          <w:p w:rsidR="00B80897" w:rsidRPr="00B80897" w:rsidRDefault="00B80897" w:rsidP="00B80897">
            <w:pPr>
              <w:spacing w:after="0"/>
              <w:ind w:right="216"/>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0.001–0.06</w:t>
            </w:r>
          </w:p>
          <w:p w:rsidR="00B80897" w:rsidRPr="00B80897" w:rsidRDefault="00B80897" w:rsidP="00B80897">
            <w:pPr>
              <w:spacing w:after="0"/>
              <w:ind w:right="216"/>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0.008</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0.002–0.5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0.008</w:t>
            </w:r>
          </w:p>
        </w:tc>
      </w:tr>
      <w:tr w:rsidR="00B80897" w:rsidRPr="00B80897" w:rsidTr="00C649A0">
        <w:tc>
          <w:tcPr>
            <w:tcW w:w="918" w:type="pct"/>
            <w:tcBorders>
              <w:top w:val="nil"/>
              <w:bottom w:val="single" w:sz="4" w:space="0" w:color="auto"/>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tropicalis </w:t>
            </w:r>
            <w:r w:rsidRPr="00B80897">
              <w:rPr>
                <w:rFonts w:ascii="Arial" w:eastAsia="Calibri" w:hAnsi="Arial" w:cs="Times New Roman"/>
                <w:sz w:val="18"/>
                <w:szCs w:val="20"/>
                <w:lang w:val="en-GB"/>
              </w:rPr>
              <w:t>(78)</w:t>
            </w:r>
          </w:p>
        </w:tc>
        <w:tc>
          <w:tcPr>
            <w:tcW w:w="848" w:type="pct"/>
            <w:tcBorders>
              <w:top w:val="nil"/>
              <w:bottom w:val="single" w:sz="4" w:space="0" w:color="auto"/>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bottom w:val="single" w:sz="4" w:space="0" w:color="auto"/>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831" w:type="pct"/>
            <w:tcBorders>
              <w:top w:val="nil"/>
              <w:bottom w:val="single" w:sz="4" w:space="0" w:color="auto"/>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0.06–4</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831" w:type="pct"/>
            <w:tcBorders>
              <w:top w:val="nil"/>
              <w:bottom w:val="single" w:sz="4" w:space="0" w:color="auto"/>
            </w:tcBorders>
          </w:tcPr>
          <w:p w:rsidR="00B80897" w:rsidRPr="00B80897" w:rsidRDefault="00B80897" w:rsidP="00B80897">
            <w:pPr>
              <w:spacing w:after="0"/>
              <w:ind w:right="216"/>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0.0005–0.06</w:t>
            </w:r>
          </w:p>
          <w:p w:rsidR="00B80897" w:rsidRPr="00B80897" w:rsidRDefault="00B80897" w:rsidP="00B80897">
            <w:pPr>
              <w:spacing w:after="0"/>
              <w:ind w:right="216"/>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0.03</w:t>
            </w:r>
          </w:p>
        </w:tc>
        <w:tc>
          <w:tcPr>
            <w:tcW w:w="786" w:type="pct"/>
            <w:tcBorders>
              <w:top w:val="nil"/>
              <w:bottom w:val="single" w:sz="4" w:space="0" w:color="auto"/>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0.002–0.25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0.03</w:t>
            </w:r>
          </w:p>
        </w:tc>
      </w:tr>
      <w:tr w:rsidR="00B80897" w:rsidRPr="00B80897" w:rsidTr="00C649A0">
        <w:tc>
          <w:tcPr>
            <w:tcW w:w="918" w:type="pct"/>
            <w:tcBorders>
              <w:top w:val="single" w:sz="4" w:space="0" w:color="auto"/>
              <w:bottom w:val="single" w:sz="4" w:space="0" w:color="auto"/>
            </w:tcBorders>
          </w:tcPr>
          <w:p w:rsidR="00B80897" w:rsidRPr="00B80897" w:rsidRDefault="00B80897" w:rsidP="00B80897">
            <w:pPr>
              <w:spacing w:after="0"/>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Caspofungin</w:t>
            </w:r>
          </w:p>
        </w:tc>
        <w:tc>
          <w:tcPr>
            <w:tcW w:w="848" w:type="pct"/>
            <w:tcBorders>
              <w:top w:val="single" w:sz="4" w:space="0" w:color="auto"/>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786" w:type="pct"/>
            <w:tcBorders>
              <w:top w:val="single" w:sz="4" w:space="0" w:color="auto"/>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831" w:type="pct"/>
            <w:tcBorders>
              <w:top w:val="single" w:sz="4" w:space="0" w:color="auto"/>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831" w:type="pct"/>
            <w:tcBorders>
              <w:top w:val="single" w:sz="4" w:space="0" w:color="auto"/>
              <w:bottom w:val="single" w:sz="4" w:space="0" w:color="auto"/>
            </w:tcBorders>
          </w:tcPr>
          <w:p w:rsidR="00B80897" w:rsidRPr="00B80897" w:rsidRDefault="00B80897" w:rsidP="00B80897">
            <w:pPr>
              <w:spacing w:after="0"/>
              <w:ind w:right="216"/>
              <w:jc w:val="center"/>
              <w:outlineLvl w:val="0"/>
              <w:rPr>
                <w:rFonts w:ascii="Calibri" w:eastAsia="Calibri" w:hAnsi="Calibri" w:cs="Times New Roman"/>
                <w:sz w:val="18"/>
                <w:szCs w:val="20"/>
                <w:lang w:val="en-GB"/>
              </w:rPr>
            </w:pPr>
          </w:p>
        </w:tc>
        <w:tc>
          <w:tcPr>
            <w:tcW w:w="786" w:type="pct"/>
            <w:tcBorders>
              <w:top w:val="single" w:sz="4" w:space="0" w:color="auto"/>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r>
      <w:tr w:rsidR="00B80897" w:rsidRPr="00B80897" w:rsidTr="00C649A0">
        <w:tc>
          <w:tcPr>
            <w:tcW w:w="918" w:type="pct"/>
            <w:tcBorders>
              <w:top w:val="single" w:sz="4" w:space="0" w:color="auto"/>
              <w:bottom w:val="nil"/>
            </w:tcBorders>
          </w:tcPr>
          <w:p w:rsidR="00B80897" w:rsidRPr="00B80897" w:rsidRDefault="00B80897" w:rsidP="00B80897">
            <w:pPr>
              <w:spacing w:after="0"/>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 xml:space="preserve">All </w:t>
            </w:r>
            <w:r w:rsidRPr="00B80897">
              <w:rPr>
                <w:rFonts w:ascii="Arial" w:eastAsia="Calibri" w:hAnsi="Arial" w:cs="Times New Roman"/>
                <w:i/>
                <w:sz w:val="18"/>
                <w:szCs w:val="20"/>
                <w:lang w:val="en-GB"/>
              </w:rPr>
              <w:t xml:space="preserve">Candida spp. </w:t>
            </w:r>
            <w:r w:rsidRPr="00B80897">
              <w:rPr>
                <w:rFonts w:ascii="Arial" w:eastAsia="Calibri" w:hAnsi="Arial" w:cs="Times New Roman"/>
                <w:sz w:val="18"/>
                <w:szCs w:val="20"/>
                <w:lang w:val="en-GB"/>
              </w:rPr>
              <w:t>Isolates (356)</w:t>
            </w:r>
          </w:p>
        </w:tc>
        <w:tc>
          <w:tcPr>
            <w:tcW w:w="848" w:type="pct"/>
            <w:tcBorders>
              <w:top w:val="single" w:sz="4" w:space="0" w:color="auto"/>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single" w:sz="4" w:space="0" w:color="auto"/>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0.03–2</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1</w:t>
            </w:r>
          </w:p>
        </w:tc>
        <w:tc>
          <w:tcPr>
            <w:tcW w:w="831" w:type="pct"/>
            <w:tcBorders>
              <w:top w:val="single" w:sz="4" w:space="0" w:color="auto"/>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0.06–32</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4</w:t>
            </w:r>
          </w:p>
        </w:tc>
        <w:tc>
          <w:tcPr>
            <w:tcW w:w="831" w:type="pct"/>
            <w:tcBorders>
              <w:top w:val="single" w:sz="4" w:space="0" w:color="auto"/>
              <w:bottom w:val="nil"/>
            </w:tcBorders>
          </w:tcPr>
          <w:p w:rsidR="00B80897" w:rsidRPr="00B80897" w:rsidRDefault="00B80897" w:rsidP="00B80897">
            <w:pPr>
              <w:spacing w:after="0"/>
              <w:ind w:right="216"/>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0.0005–0.125</w:t>
            </w:r>
          </w:p>
          <w:p w:rsidR="00B80897" w:rsidRPr="00B80897" w:rsidRDefault="00B80897" w:rsidP="00B80897">
            <w:pPr>
              <w:spacing w:after="0"/>
              <w:ind w:right="216"/>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0.016</w:t>
            </w:r>
          </w:p>
        </w:tc>
        <w:tc>
          <w:tcPr>
            <w:tcW w:w="786" w:type="pct"/>
            <w:tcBorders>
              <w:top w:val="single" w:sz="4" w:space="0" w:color="auto"/>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0.03</w:t>
            </w:r>
          </w:p>
        </w:tc>
      </w:tr>
      <w:tr w:rsidR="00B80897" w:rsidRPr="00B80897" w:rsidTr="00C649A0">
        <w:tc>
          <w:tcPr>
            <w:tcW w:w="918" w:type="pct"/>
            <w:tcBorders>
              <w:top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albicans </w:t>
            </w:r>
            <w:r w:rsidRPr="00B80897">
              <w:rPr>
                <w:rFonts w:ascii="Arial" w:eastAsia="Calibri" w:hAnsi="Arial" w:cs="Times New Roman"/>
                <w:sz w:val="18"/>
                <w:szCs w:val="20"/>
                <w:lang w:val="en-GB"/>
              </w:rPr>
              <w:t>(141)</w:t>
            </w:r>
          </w:p>
        </w:tc>
        <w:tc>
          <w:tcPr>
            <w:tcW w:w="848"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0.06–8</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2</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0.0005–0.03</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0.004</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w:t>
            </w:r>
            <w:r w:rsidRPr="00B80897">
              <w:rPr>
                <w:rFonts w:ascii="Arial" w:eastAsia="Calibri" w:hAnsi="Arial" w:cs="Times New Roman"/>
                <w:sz w:val="18"/>
                <w:szCs w:val="20"/>
                <w:lang w:val="en-GB"/>
              </w:rPr>
              <w:softHyphen/>
              <w:t>–0.125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0.008</w:t>
            </w:r>
          </w:p>
        </w:tc>
      </w:tr>
      <w:tr w:rsidR="00B80897" w:rsidRPr="00B80897" w:rsidTr="00C649A0">
        <w:tc>
          <w:tcPr>
            <w:tcW w:w="918" w:type="pct"/>
            <w:tcBorders>
              <w:top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glabrata </w:t>
            </w:r>
            <w:r w:rsidRPr="00B80897">
              <w:rPr>
                <w:rFonts w:ascii="Arial" w:eastAsia="Calibri" w:hAnsi="Arial" w:cs="Times New Roman"/>
                <w:sz w:val="18"/>
                <w:szCs w:val="20"/>
                <w:lang w:val="en-GB"/>
              </w:rPr>
              <w:t>(44)</w:t>
            </w:r>
          </w:p>
        </w:tc>
        <w:tc>
          <w:tcPr>
            <w:tcW w:w="848"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0.125</w:t>
            </w:r>
            <w:r w:rsidRPr="00B80897">
              <w:rPr>
                <w:rFonts w:ascii="Arial" w:eastAsia="Calibri" w:hAnsi="Arial" w:cs="Times New Roman"/>
                <w:sz w:val="18"/>
                <w:szCs w:val="20"/>
                <w:lang w:val="en-GB"/>
              </w:rPr>
              <w:softHyphen/>
              <w:t>–0.5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0.125–16</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4</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0.001–0.125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0.06</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0.004–0.125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0.06</w:t>
            </w:r>
          </w:p>
        </w:tc>
      </w:tr>
      <w:tr w:rsidR="00B80897" w:rsidRPr="00B80897" w:rsidTr="00C649A0">
        <w:tc>
          <w:tcPr>
            <w:tcW w:w="918" w:type="pct"/>
            <w:tcBorders>
              <w:top w:val="nil"/>
              <w:bottom w:val="nil"/>
            </w:tcBorders>
          </w:tcPr>
          <w:p w:rsidR="00B80897" w:rsidRPr="00B80897" w:rsidRDefault="00B80897" w:rsidP="00B80897">
            <w:pPr>
              <w:spacing w:after="0"/>
              <w:ind w:left="227"/>
              <w:outlineLvl w:val="0"/>
              <w:rPr>
                <w:rFonts w:ascii="Arial" w:eastAsia="Calibri" w:hAnsi="Arial" w:cs="Times New Roman"/>
                <w:sz w:val="18"/>
                <w:szCs w:val="20"/>
                <w:lang w:val="en-GB"/>
              </w:rPr>
            </w:pPr>
            <w:r w:rsidRPr="00B80897">
              <w:rPr>
                <w:rFonts w:ascii="Arial" w:eastAsia="Calibri" w:hAnsi="Arial" w:cs="Times New Roman"/>
                <w:i/>
                <w:sz w:val="18"/>
                <w:szCs w:val="20"/>
                <w:lang w:val="en-GB"/>
              </w:rPr>
              <w:t xml:space="preserve">C. inconspicua </w:t>
            </w:r>
            <w:r w:rsidRPr="00B80897">
              <w:rPr>
                <w:rFonts w:ascii="Arial" w:eastAsia="Calibri" w:hAnsi="Arial" w:cs="Times New Roman"/>
                <w:sz w:val="18"/>
                <w:szCs w:val="20"/>
                <w:lang w:val="en-GB"/>
              </w:rPr>
              <w:t>(2)</w:t>
            </w:r>
          </w:p>
        </w:tc>
        <w:tc>
          <w:tcPr>
            <w:tcW w:w="848"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w:t>
            </w:r>
            <w:r w:rsidRPr="00B80897">
              <w:rPr>
                <w:rFonts w:ascii="Arial" w:eastAsia="Calibri" w:hAnsi="Arial" w:cs="Times New Roman"/>
                <w:sz w:val="18"/>
                <w:szCs w:val="20"/>
                <w:lang w:val="en-GB"/>
              </w:rPr>
              <w:softHyphen/>
              <w:t>–1</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2</w:t>
            </w:r>
            <w:r w:rsidRPr="00B80897">
              <w:rPr>
                <w:rFonts w:ascii="Arial" w:eastAsia="Calibri" w:hAnsi="Arial" w:cs="Times New Roman"/>
                <w:sz w:val="18"/>
                <w:szCs w:val="20"/>
                <w:lang w:val="en-GB"/>
              </w:rPr>
              <w:softHyphen/>
              <w:t>–16</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0.004</w:t>
            </w:r>
            <w:r w:rsidRPr="00B80897">
              <w:rPr>
                <w:rFonts w:ascii="Arial" w:eastAsia="Calibri" w:hAnsi="Arial" w:cs="Times New Roman"/>
                <w:sz w:val="18"/>
                <w:szCs w:val="20"/>
                <w:lang w:val="en-GB"/>
              </w:rPr>
              <w:softHyphen/>
              <w:t>–0.125</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w:t>
            </w:r>
            <w:r w:rsidRPr="00B80897">
              <w:rPr>
                <w:rFonts w:ascii="Arial" w:eastAsia="Calibri" w:hAnsi="Arial" w:cs="Times New Roman"/>
                <w:sz w:val="18"/>
                <w:szCs w:val="20"/>
                <w:lang w:val="en-GB"/>
              </w:rPr>
              <w:softHyphen/>
              <w:t>–0.125</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r>
      <w:tr w:rsidR="00B80897" w:rsidRPr="00B80897" w:rsidTr="00C649A0">
        <w:tc>
          <w:tcPr>
            <w:tcW w:w="918" w:type="pct"/>
            <w:tcBorders>
              <w:top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krusei </w:t>
            </w:r>
            <w:r w:rsidRPr="00B80897">
              <w:rPr>
                <w:rFonts w:ascii="Arial" w:eastAsia="Calibri" w:hAnsi="Arial" w:cs="Times New Roman"/>
                <w:sz w:val="18"/>
                <w:szCs w:val="20"/>
                <w:lang w:val="en-GB"/>
              </w:rPr>
              <w:t>(19)</w:t>
            </w:r>
          </w:p>
        </w:tc>
        <w:tc>
          <w:tcPr>
            <w:tcW w:w="848"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lastRenderedPageBreak/>
              <w:t>MIC</w:t>
            </w:r>
            <w:r w:rsidRPr="00B80897">
              <w:rPr>
                <w:rFonts w:ascii="Arial" w:eastAsia="Calibri" w:hAnsi="Arial" w:cs="Times New Roman"/>
                <w:sz w:val="18"/>
                <w:szCs w:val="20"/>
                <w:vertAlign w:val="subscript"/>
                <w:lang w:val="en-GB"/>
              </w:rPr>
              <w:t>90</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lastRenderedPageBreak/>
              <w:t>0.5–2</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lastRenderedPageBreak/>
              <w:t>2</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lastRenderedPageBreak/>
              <w:t>8–32</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lastRenderedPageBreak/>
              <w:t>32</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lastRenderedPageBreak/>
              <w:t>0.008–0.125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lastRenderedPageBreak/>
              <w:t>0.06</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lastRenderedPageBreak/>
              <w:t>0.016–0.125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lastRenderedPageBreak/>
              <w:t>0.125</w:t>
            </w:r>
          </w:p>
        </w:tc>
      </w:tr>
      <w:tr w:rsidR="00B80897" w:rsidRPr="00B80897" w:rsidTr="00C649A0">
        <w:tc>
          <w:tcPr>
            <w:tcW w:w="918" w:type="pct"/>
            <w:tcBorders>
              <w:top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lastRenderedPageBreak/>
              <w:t xml:space="preserve">C. parapsilosis </w:t>
            </w:r>
            <w:r w:rsidRPr="00B80897">
              <w:rPr>
                <w:rFonts w:ascii="Arial" w:eastAsia="Calibri" w:hAnsi="Arial" w:cs="Times New Roman"/>
                <w:sz w:val="18"/>
                <w:szCs w:val="20"/>
                <w:lang w:val="en-GB"/>
              </w:rPr>
              <w:t>(37)</w:t>
            </w:r>
          </w:p>
        </w:tc>
        <w:tc>
          <w:tcPr>
            <w:tcW w:w="848"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0.06–2</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1</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0.06–32</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4</w:t>
            </w:r>
          </w:p>
        </w:tc>
        <w:tc>
          <w:tcPr>
            <w:tcW w:w="831"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0.0005–0.03</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0.016</w:t>
            </w:r>
          </w:p>
        </w:tc>
        <w:tc>
          <w:tcPr>
            <w:tcW w:w="786" w:type="pct"/>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0.03</w:t>
            </w:r>
          </w:p>
        </w:tc>
      </w:tr>
      <w:tr w:rsidR="00B80897" w:rsidRPr="00B80897" w:rsidTr="00C649A0">
        <w:tc>
          <w:tcPr>
            <w:tcW w:w="918" w:type="pct"/>
            <w:tcBorders>
              <w:top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tropicalis </w:t>
            </w:r>
            <w:r w:rsidRPr="00B80897">
              <w:rPr>
                <w:rFonts w:ascii="Arial" w:eastAsia="Calibri" w:hAnsi="Arial" w:cs="Times New Roman"/>
                <w:sz w:val="18"/>
                <w:szCs w:val="20"/>
                <w:lang w:val="en-GB"/>
              </w:rPr>
              <w:t>(90)</w:t>
            </w:r>
          </w:p>
        </w:tc>
        <w:tc>
          <w:tcPr>
            <w:tcW w:w="848" w:type="pct"/>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786" w:type="pct"/>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0.25</w:t>
            </w:r>
          </w:p>
        </w:tc>
        <w:tc>
          <w:tcPr>
            <w:tcW w:w="831" w:type="pct"/>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0.06–4</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2</w:t>
            </w:r>
          </w:p>
        </w:tc>
        <w:tc>
          <w:tcPr>
            <w:tcW w:w="831" w:type="pct"/>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0.0005–0.03</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0.016</w:t>
            </w:r>
          </w:p>
        </w:tc>
        <w:tc>
          <w:tcPr>
            <w:tcW w:w="786" w:type="pct"/>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0.002–0.03</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0.016</w:t>
            </w:r>
          </w:p>
        </w:tc>
      </w:tr>
    </w:tbl>
    <w:p w:rsidR="00B80897" w:rsidRPr="00B80897" w:rsidRDefault="00B80897" w:rsidP="00B80897">
      <w:pPr>
        <w:outlineLvl w:val="0"/>
        <w:rPr>
          <w:rFonts w:ascii="Arial" w:eastAsia="Calibri" w:hAnsi="Arial" w:cs="Times New Roman"/>
          <w:sz w:val="20"/>
        </w:rPr>
      </w:pPr>
      <w:r w:rsidRPr="00B80897">
        <w:rPr>
          <w:rFonts w:ascii="Arial" w:eastAsia="Calibri" w:hAnsi="Arial" w:cs="Times New Roman"/>
          <w:sz w:val="20"/>
        </w:rPr>
        <w:t>MIC was analysed by the isavuconazole and caspofungin study arms separately</w:t>
      </w:r>
    </w:p>
    <w:p w:rsidR="00B80897" w:rsidRPr="00B80897" w:rsidRDefault="00B80897" w:rsidP="00B80897">
      <w:pPr>
        <w:outlineLvl w:val="0"/>
        <w:rPr>
          <w:rFonts w:ascii="Arial" w:eastAsia="Calibri" w:hAnsi="Arial" w:cs="Times New Roman"/>
          <w:sz w:val="20"/>
        </w:rPr>
      </w:pPr>
      <w:r w:rsidRPr="00B80897">
        <w:rPr>
          <w:rFonts w:ascii="Arial" w:eastAsia="Calibri" w:hAnsi="Arial" w:cs="Times New Roman"/>
          <w:sz w:val="20"/>
        </w:rPr>
        <w:t>Patients may have had multiple baseline isolates tested</w:t>
      </w:r>
    </w:p>
    <w:p w:rsidR="00B80897" w:rsidRPr="00B80897" w:rsidRDefault="00B80897" w:rsidP="00B80897">
      <w:pPr>
        <w:outlineLvl w:val="0"/>
        <w:rPr>
          <w:rFonts w:ascii="Arial" w:eastAsia="Calibri" w:hAnsi="Arial" w:cs="Times New Roman"/>
          <w:sz w:val="20"/>
        </w:rPr>
      </w:pPr>
      <w:r w:rsidRPr="00B80897">
        <w:rPr>
          <w:rFonts w:ascii="Arial" w:eastAsia="Calibri" w:hAnsi="Arial" w:cs="Times New Roman"/>
          <w:sz w:val="20"/>
        </w:rPr>
        <w:t>Non-C</w:t>
      </w:r>
      <w:r w:rsidRPr="00B80897">
        <w:rPr>
          <w:rFonts w:ascii="Arial" w:eastAsia="Calibri" w:hAnsi="Arial" w:cs="Times New Roman"/>
          <w:i/>
          <w:sz w:val="20"/>
        </w:rPr>
        <w:t>andida</w:t>
      </w:r>
      <w:r w:rsidRPr="00B80897">
        <w:rPr>
          <w:rFonts w:ascii="Arial" w:eastAsia="Calibri" w:hAnsi="Arial" w:cs="Times New Roman"/>
          <w:sz w:val="20"/>
        </w:rPr>
        <w:t xml:space="preserve"> and less prevalent </w:t>
      </w:r>
      <w:r w:rsidRPr="00B80897">
        <w:rPr>
          <w:rFonts w:ascii="Arial" w:eastAsia="Calibri" w:hAnsi="Arial" w:cs="Times New Roman"/>
          <w:i/>
          <w:sz w:val="20"/>
        </w:rPr>
        <w:t xml:space="preserve">Candida </w:t>
      </w:r>
      <w:r w:rsidRPr="00B80897">
        <w:rPr>
          <w:rFonts w:ascii="Arial" w:eastAsia="Calibri" w:hAnsi="Arial" w:cs="Times New Roman"/>
          <w:sz w:val="20"/>
        </w:rPr>
        <w:t>spp. are not included in the table; the MIC</w:t>
      </w:r>
      <w:r w:rsidRPr="00B80897">
        <w:rPr>
          <w:rFonts w:ascii="Arial" w:eastAsia="Calibri" w:hAnsi="Arial" w:cs="Times New Roman"/>
          <w:sz w:val="20"/>
          <w:vertAlign w:val="subscript"/>
        </w:rPr>
        <w:t>90</w:t>
      </w:r>
      <w:r w:rsidRPr="00B80897">
        <w:rPr>
          <w:rFonts w:ascii="Arial" w:eastAsia="Calibri" w:hAnsi="Arial" w:cs="Times New Roman"/>
          <w:sz w:val="20"/>
        </w:rPr>
        <w:t xml:space="preserve"> is not reported if isolates numbered less than 10</w:t>
      </w:r>
    </w:p>
    <w:p w:rsidR="00B80897" w:rsidRPr="00B80897" w:rsidRDefault="00B80897" w:rsidP="00B80897">
      <w:pPr>
        <w:outlineLvl w:val="0"/>
        <w:rPr>
          <w:rFonts w:ascii="Arial" w:eastAsia="Calibri" w:hAnsi="Arial" w:cs="Times New Roman"/>
          <w:sz w:val="20"/>
          <w:szCs w:val="20"/>
        </w:rPr>
      </w:pPr>
      <w:r w:rsidRPr="00B80897">
        <w:rPr>
          <w:rFonts w:ascii="Arial" w:eastAsia="Calibri" w:hAnsi="Arial" w:cs="Times New Roman"/>
          <w:sz w:val="20"/>
          <w:szCs w:val="20"/>
        </w:rPr>
        <w:t>Abbreviations: CLSI, Clinical and Laboratory Standards Institute; MIC, minimum inhibitory concentration; mITT, modified intent to treat.</w:t>
      </w:r>
    </w:p>
    <w:p w:rsidR="00B80897" w:rsidRPr="00B80897" w:rsidRDefault="00B80897" w:rsidP="00B80897">
      <w:pPr>
        <w:outlineLvl w:val="0"/>
        <w:rPr>
          <w:rFonts w:ascii="Arial" w:eastAsia="Calibri" w:hAnsi="Arial" w:cs="Times New Roman"/>
        </w:rPr>
      </w:pPr>
      <w:r w:rsidRPr="00B80897">
        <w:rPr>
          <w:rFonts w:ascii="Arial" w:eastAsia="Calibri" w:hAnsi="Arial" w:cs="Times New Roman"/>
        </w:rPr>
        <w:br w:type="page"/>
      </w:r>
    </w:p>
    <w:p w:rsidR="00B80897" w:rsidRPr="00B80897" w:rsidRDefault="00B80897" w:rsidP="00B80897">
      <w:pPr>
        <w:outlineLvl w:val="0"/>
        <w:rPr>
          <w:rFonts w:ascii="Arial" w:eastAsia="Calibri" w:hAnsi="Arial" w:cs="Times New Roman"/>
          <w:b/>
          <w:szCs w:val="20"/>
        </w:rPr>
      </w:pPr>
      <w:r w:rsidRPr="00B80897">
        <w:rPr>
          <w:rFonts w:ascii="Arial" w:eastAsia="Calibri" w:hAnsi="Arial" w:cs="Times New Roman"/>
          <w:b/>
          <w:szCs w:val="20"/>
        </w:rPr>
        <w:lastRenderedPageBreak/>
        <w:t xml:space="preserve">Table S3. </w:t>
      </w:r>
      <w:r w:rsidRPr="00B80897">
        <w:rPr>
          <w:rFonts w:ascii="Arial" w:eastAsia="Calibri" w:hAnsi="Arial" w:cs="Times New Roman"/>
          <w:szCs w:val="20"/>
        </w:rPr>
        <w:t xml:space="preserve">MIC Values for Baseline </w:t>
      </w:r>
      <w:r w:rsidRPr="00B80897">
        <w:rPr>
          <w:rFonts w:ascii="Arial" w:eastAsia="Calibri" w:hAnsi="Arial" w:cs="Times New Roman"/>
          <w:i/>
          <w:szCs w:val="20"/>
        </w:rPr>
        <w:t>Candida</w:t>
      </w:r>
      <w:r w:rsidRPr="00B80897">
        <w:rPr>
          <w:rFonts w:ascii="Arial" w:eastAsia="Calibri" w:hAnsi="Arial" w:cs="Times New Roman"/>
          <w:szCs w:val="20"/>
        </w:rPr>
        <w:t xml:space="preserve"> spp. Isolates per EUCAST Standard (mITT Population)</w:t>
      </w:r>
    </w:p>
    <w:tbl>
      <w:tblPr>
        <w:tblStyle w:val="TableGrid1"/>
        <w:tblW w:w="9828" w:type="dxa"/>
        <w:tblBorders>
          <w:insideV w:val="none" w:sz="0" w:space="0" w:color="auto"/>
        </w:tblBorders>
        <w:tblLook w:val="04A0" w:firstRow="1" w:lastRow="0" w:firstColumn="1" w:lastColumn="0" w:noHBand="0" w:noVBand="1"/>
      </w:tblPr>
      <w:tblGrid>
        <w:gridCol w:w="1748"/>
        <w:gridCol w:w="1600"/>
        <w:gridCol w:w="1620"/>
        <w:gridCol w:w="1620"/>
        <w:gridCol w:w="1620"/>
        <w:gridCol w:w="1620"/>
      </w:tblGrid>
      <w:tr w:rsidR="00B80897" w:rsidRPr="00B80897" w:rsidTr="00C649A0">
        <w:tc>
          <w:tcPr>
            <w:tcW w:w="1748" w:type="dxa"/>
            <w:tcBorders>
              <w:left w:val="nil"/>
            </w:tcBorders>
          </w:tcPr>
          <w:p w:rsidR="00B80897" w:rsidRPr="00B80897" w:rsidRDefault="00B80897" w:rsidP="00B80897">
            <w:pPr>
              <w:spacing w:after="0"/>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Organism</w:t>
            </w:r>
          </w:p>
          <w:p w:rsidR="00B80897" w:rsidRPr="00B80897" w:rsidRDefault="00B80897" w:rsidP="00B80897">
            <w:pPr>
              <w:spacing w:after="0"/>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Genus spp. (no of isolates)</w:t>
            </w:r>
          </w:p>
        </w:tc>
        <w:tc>
          <w:tcPr>
            <w:tcW w:w="1600" w:type="dxa"/>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(µg/mL)</w:t>
            </w:r>
          </w:p>
        </w:tc>
        <w:tc>
          <w:tcPr>
            <w:tcW w:w="1620" w:type="dxa"/>
          </w:tcPr>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Caspofungin</w:t>
            </w:r>
          </w:p>
        </w:tc>
        <w:tc>
          <w:tcPr>
            <w:tcW w:w="1620" w:type="dxa"/>
          </w:tcPr>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Fluconazole</w:t>
            </w:r>
          </w:p>
        </w:tc>
        <w:tc>
          <w:tcPr>
            <w:tcW w:w="1620" w:type="dxa"/>
          </w:tcPr>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Isavuconazole</w:t>
            </w:r>
          </w:p>
        </w:tc>
        <w:tc>
          <w:tcPr>
            <w:tcW w:w="1620" w:type="dxa"/>
            <w:tcBorders>
              <w:right w:val="nil"/>
            </w:tcBorders>
          </w:tcPr>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Voriconazole</w:t>
            </w:r>
          </w:p>
        </w:tc>
      </w:tr>
      <w:tr w:rsidR="00B80897" w:rsidRPr="00B80897" w:rsidTr="00C649A0">
        <w:tc>
          <w:tcPr>
            <w:tcW w:w="1748" w:type="dxa"/>
            <w:tcBorders>
              <w:left w:val="nil"/>
              <w:bottom w:val="single" w:sz="4" w:space="0" w:color="auto"/>
            </w:tcBorders>
          </w:tcPr>
          <w:p w:rsidR="00B80897" w:rsidRPr="00B80897" w:rsidRDefault="00B80897" w:rsidP="00B80897">
            <w:pPr>
              <w:spacing w:after="0"/>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Isavuconazole</w:t>
            </w:r>
          </w:p>
        </w:tc>
        <w:tc>
          <w:tcPr>
            <w:tcW w:w="1600" w:type="dxa"/>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1620" w:type="dxa"/>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1620" w:type="dxa"/>
            <w:tcBorders>
              <w:bottom w:val="single" w:sz="4" w:space="0" w:color="auto"/>
            </w:tcBorders>
          </w:tcPr>
          <w:p w:rsidR="00B80897" w:rsidRPr="00B80897" w:rsidRDefault="00B80897" w:rsidP="00B80897">
            <w:pPr>
              <w:spacing w:after="0"/>
              <w:ind w:right="317"/>
              <w:jc w:val="center"/>
              <w:outlineLvl w:val="0"/>
              <w:rPr>
                <w:rFonts w:ascii="Calibri" w:eastAsia="Calibri" w:hAnsi="Calibri" w:cs="Times New Roman"/>
                <w:sz w:val="18"/>
                <w:szCs w:val="20"/>
                <w:lang w:val="en-GB"/>
              </w:rPr>
            </w:pPr>
          </w:p>
        </w:tc>
        <w:tc>
          <w:tcPr>
            <w:tcW w:w="1620" w:type="dxa"/>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1620" w:type="dxa"/>
            <w:tcBorders>
              <w:bottom w:val="single" w:sz="4" w:space="0" w:color="auto"/>
              <w:right w:val="nil"/>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r>
      <w:tr w:rsidR="00B80897" w:rsidRPr="00B80897" w:rsidTr="00C649A0">
        <w:tc>
          <w:tcPr>
            <w:tcW w:w="1748" w:type="dxa"/>
            <w:tcBorders>
              <w:left w:val="nil"/>
              <w:bottom w:val="nil"/>
            </w:tcBorders>
          </w:tcPr>
          <w:p w:rsidR="00B80897" w:rsidRPr="00B80897" w:rsidRDefault="00B80897" w:rsidP="00B80897">
            <w:pPr>
              <w:spacing w:after="0"/>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 xml:space="preserve">All </w:t>
            </w:r>
            <w:r w:rsidRPr="00B80897">
              <w:rPr>
                <w:rFonts w:ascii="Arial" w:eastAsia="Calibri" w:hAnsi="Arial" w:cs="Times New Roman"/>
                <w:i/>
                <w:sz w:val="18"/>
                <w:szCs w:val="20"/>
                <w:lang w:val="en-GB"/>
              </w:rPr>
              <w:t xml:space="preserve">Candida spp. </w:t>
            </w:r>
            <w:r w:rsidRPr="00B80897">
              <w:rPr>
                <w:rFonts w:ascii="Arial" w:eastAsia="Calibri" w:hAnsi="Arial" w:cs="Times New Roman"/>
                <w:sz w:val="18"/>
                <w:szCs w:val="20"/>
                <w:lang w:val="en-GB"/>
              </w:rPr>
              <w:t>Isolates (358)</w:t>
            </w:r>
          </w:p>
        </w:tc>
        <w:tc>
          <w:tcPr>
            <w:tcW w:w="1600" w:type="dxa"/>
            <w:tcBorders>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1620" w:type="dxa"/>
            <w:tcBorders>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0.06–256</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8</w:t>
            </w:r>
          </w:p>
        </w:tc>
        <w:tc>
          <w:tcPr>
            <w:tcW w:w="1620" w:type="dxa"/>
            <w:tcBorders>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0.03</w:t>
            </w:r>
          </w:p>
        </w:tc>
        <w:tc>
          <w:tcPr>
            <w:tcW w:w="1620" w:type="dxa"/>
            <w:tcBorders>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0.06</w:t>
            </w:r>
          </w:p>
        </w:tc>
      </w:tr>
      <w:tr w:rsidR="00B80897" w:rsidRPr="00B80897" w:rsidTr="00C649A0">
        <w:tc>
          <w:tcPr>
            <w:tcW w:w="1748" w:type="dxa"/>
            <w:tcBorders>
              <w:top w:val="nil"/>
              <w:left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albicans </w:t>
            </w:r>
            <w:r w:rsidRPr="00B80897">
              <w:rPr>
                <w:rFonts w:ascii="Arial" w:eastAsia="Calibri" w:hAnsi="Arial" w:cs="Times New Roman"/>
                <w:sz w:val="18"/>
                <w:szCs w:val="20"/>
                <w:lang w:val="en-GB"/>
              </w:rPr>
              <w:t>(157)</w:t>
            </w:r>
          </w:p>
        </w:tc>
        <w:tc>
          <w:tcPr>
            <w:tcW w:w="160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0.25</w:t>
            </w:r>
          </w:p>
        </w:tc>
        <w:tc>
          <w:tcPr>
            <w:tcW w:w="1620" w:type="dxa"/>
            <w:tcBorders>
              <w:top w:val="nil"/>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0.06–8</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0.25</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0.0005–0.03</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0.004</w:t>
            </w:r>
          </w:p>
        </w:tc>
        <w:tc>
          <w:tcPr>
            <w:tcW w:w="1620" w:type="dxa"/>
            <w:tcBorders>
              <w:top w:val="nil"/>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0.001–0.06</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0.016</w:t>
            </w:r>
          </w:p>
        </w:tc>
      </w:tr>
      <w:tr w:rsidR="00B80897" w:rsidRPr="00B80897" w:rsidTr="00C649A0">
        <w:tc>
          <w:tcPr>
            <w:tcW w:w="1748" w:type="dxa"/>
            <w:tcBorders>
              <w:top w:val="nil"/>
              <w:left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glabrata </w:t>
            </w:r>
            <w:r w:rsidRPr="00B80897">
              <w:rPr>
                <w:rFonts w:ascii="Arial" w:eastAsia="Calibri" w:hAnsi="Arial" w:cs="Times New Roman"/>
                <w:sz w:val="18"/>
                <w:szCs w:val="20"/>
                <w:lang w:val="en-GB"/>
              </w:rPr>
              <w:t>(43)</w:t>
            </w:r>
          </w:p>
        </w:tc>
        <w:tc>
          <w:tcPr>
            <w:tcW w:w="160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0.125–1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1620" w:type="dxa"/>
            <w:tcBorders>
              <w:top w:val="nil"/>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1–32</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32</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0.008–0.5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0.25</w:t>
            </w:r>
          </w:p>
        </w:tc>
        <w:tc>
          <w:tcPr>
            <w:tcW w:w="1620" w:type="dxa"/>
            <w:tcBorders>
              <w:top w:val="nil"/>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0.008–1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r>
      <w:tr w:rsidR="00B80897" w:rsidRPr="00B80897" w:rsidTr="00C649A0">
        <w:tc>
          <w:tcPr>
            <w:tcW w:w="1748" w:type="dxa"/>
            <w:tcBorders>
              <w:top w:val="nil"/>
              <w:left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inconspicua </w:t>
            </w:r>
            <w:r w:rsidRPr="00B80897">
              <w:rPr>
                <w:rFonts w:ascii="Arial" w:eastAsia="Calibri" w:hAnsi="Arial" w:cs="Times New Roman"/>
                <w:sz w:val="18"/>
                <w:szCs w:val="20"/>
                <w:lang w:val="en-GB"/>
              </w:rPr>
              <w:t>(20)</w:t>
            </w:r>
          </w:p>
        </w:tc>
        <w:tc>
          <w:tcPr>
            <w:tcW w:w="160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0.25</w:t>
            </w:r>
          </w:p>
        </w:tc>
        <w:tc>
          <w:tcPr>
            <w:tcW w:w="1620" w:type="dxa"/>
            <w:tcBorders>
              <w:top w:val="nil"/>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4–8</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8</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0.008–0.06</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0.03</w:t>
            </w:r>
          </w:p>
        </w:tc>
        <w:tc>
          <w:tcPr>
            <w:tcW w:w="1620" w:type="dxa"/>
            <w:tcBorders>
              <w:top w:val="nil"/>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0.125</w:t>
            </w:r>
          </w:p>
        </w:tc>
      </w:tr>
      <w:tr w:rsidR="00B80897" w:rsidRPr="00B80897" w:rsidTr="00C649A0">
        <w:tc>
          <w:tcPr>
            <w:tcW w:w="1748" w:type="dxa"/>
            <w:tcBorders>
              <w:top w:val="nil"/>
              <w:left w:val="nil"/>
              <w:bottom w:val="nil"/>
            </w:tcBorders>
          </w:tcPr>
          <w:p w:rsidR="00B80897" w:rsidRPr="00B80897" w:rsidRDefault="00B80897" w:rsidP="00B80897">
            <w:pPr>
              <w:spacing w:after="0"/>
              <w:ind w:left="227"/>
              <w:outlineLvl w:val="0"/>
              <w:rPr>
                <w:rFonts w:ascii="Arial" w:eastAsia="Calibri" w:hAnsi="Arial" w:cs="Times New Roman"/>
                <w:sz w:val="18"/>
                <w:szCs w:val="20"/>
                <w:lang w:val="en-GB"/>
              </w:rPr>
            </w:pPr>
            <w:r w:rsidRPr="00B80897">
              <w:rPr>
                <w:rFonts w:ascii="Arial" w:eastAsia="Calibri" w:hAnsi="Arial" w:cs="Times New Roman"/>
                <w:i/>
                <w:sz w:val="18"/>
                <w:szCs w:val="20"/>
                <w:lang w:val="en-GB"/>
              </w:rPr>
              <w:t xml:space="preserve">C. krusei </w:t>
            </w:r>
            <w:r w:rsidRPr="00B80897">
              <w:rPr>
                <w:rFonts w:ascii="Arial" w:eastAsia="Calibri" w:hAnsi="Arial" w:cs="Times New Roman"/>
                <w:sz w:val="18"/>
                <w:szCs w:val="20"/>
                <w:lang w:val="en-GB"/>
              </w:rPr>
              <w:t>(7)</w:t>
            </w:r>
          </w:p>
        </w:tc>
        <w:tc>
          <w:tcPr>
            <w:tcW w:w="160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0.25–0.5</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1620" w:type="dxa"/>
            <w:tcBorders>
              <w:top w:val="nil"/>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4–16</w:t>
            </w:r>
          </w:p>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0.03–0.125</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1620" w:type="dxa"/>
            <w:tcBorders>
              <w:top w:val="nil"/>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0.06–0.125</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r>
      <w:tr w:rsidR="00B80897" w:rsidRPr="00B80897" w:rsidTr="00C649A0">
        <w:tc>
          <w:tcPr>
            <w:tcW w:w="1748" w:type="dxa"/>
            <w:tcBorders>
              <w:top w:val="nil"/>
              <w:left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parapsilosis </w:t>
            </w:r>
            <w:r w:rsidRPr="00B80897">
              <w:rPr>
                <w:rFonts w:ascii="Arial" w:eastAsia="Calibri" w:hAnsi="Arial" w:cs="Times New Roman"/>
                <w:sz w:val="18"/>
                <w:szCs w:val="20"/>
                <w:lang w:val="en-GB"/>
              </w:rPr>
              <w:t>(42)</w:t>
            </w:r>
          </w:p>
        </w:tc>
        <w:tc>
          <w:tcPr>
            <w:tcW w:w="160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0.25–1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1</w:t>
            </w:r>
          </w:p>
        </w:tc>
        <w:tc>
          <w:tcPr>
            <w:tcW w:w="1620" w:type="dxa"/>
            <w:tcBorders>
              <w:top w:val="nil"/>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0.125–256</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1</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0.002–0.5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0.016</w:t>
            </w:r>
          </w:p>
        </w:tc>
        <w:tc>
          <w:tcPr>
            <w:tcW w:w="1620" w:type="dxa"/>
            <w:tcBorders>
              <w:top w:val="nil"/>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0.004–1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0.03</w:t>
            </w:r>
          </w:p>
        </w:tc>
      </w:tr>
      <w:tr w:rsidR="00B80897" w:rsidRPr="00B80897" w:rsidTr="00C649A0">
        <w:tc>
          <w:tcPr>
            <w:tcW w:w="1748" w:type="dxa"/>
            <w:tcBorders>
              <w:top w:val="nil"/>
              <w:left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tropicalis </w:t>
            </w:r>
            <w:r w:rsidRPr="00B80897">
              <w:rPr>
                <w:rFonts w:ascii="Arial" w:eastAsia="Calibri" w:hAnsi="Arial" w:cs="Times New Roman"/>
                <w:sz w:val="18"/>
                <w:szCs w:val="20"/>
                <w:lang w:val="en-GB"/>
              </w:rPr>
              <w:t>(78)</w:t>
            </w:r>
          </w:p>
        </w:tc>
        <w:tc>
          <w:tcPr>
            <w:tcW w:w="1600" w:type="dxa"/>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0.25</w:t>
            </w:r>
          </w:p>
        </w:tc>
        <w:tc>
          <w:tcPr>
            <w:tcW w:w="1620" w:type="dxa"/>
            <w:tcBorders>
              <w:top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0.125–4</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1620" w:type="dxa"/>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0.001–0.06</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0.016</w:t>
            </w:r>
          </w:p>
        </w:tc>
        <w:tc>
          <w:tcPr>
            <w:tcW w:w="1620" w:type="dxa"/>
            <w:tcBorders>
              <w:top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0.004–0.125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0.03</w:t>
            </w:r>
          </w:p>
        </w:tc>
      </w:tr>
      <w:tr w:rsidR="00B80897" w:rsidRPr="00B80897" w:rsidTr="00C649A0">
        <w:tc>
          <w:tcPr>
            <w:tcW w:w="1748" w:type="dxa"/>
            <w:tcBorders>
              <w:left w:val="nil"/>
              <w:bottom w:val="single" w:sz="4" w:space="0" w:color="auto"/>
            </w:tcBorders>
          </w:tcPr>
          <w:p w:rsidR="00B80897" w:rsidRPr="00B80897" w:rsidRDefault="00B80897" w:rsidP="00B80897">
            <w:pPr>
              <w:spacing w:after="0"/>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Caspofungin</w:t>
            </w:r>
          </w:p>
        </w:tc>
        <w:tc>
          <w:tcPr>
            <w:tcW w:w="1600" w:type="dxa"/>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1620" w:type="dxa"/>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1620" w:type="dxa"/>
            <w:tcBorders>
              <w:bottom w:val="single" w:sz="4" w:space="0" w:color="auto"/>
            </w:tcBorders>
          </w:tcPr>
          <w:p w:rsidR="00B80897" w:rsidRPr="00B80897" w:rsidRDefault="00B80897" w:rsidP="00B80897">
            <w:pPr>
              <w:spacing w:after="0"/>
              <w:ind w:right="317"/>
              <w:jc w:val="center"/>
              <w:outlineLvl w:val="0"/>
              <w:rPr>
                <w:rFonts w:ascii="Calibri" w:eastAsia="Calibri" w:hAnsi="Calibri" w:cs="Times New Roman"/>
                <w:sz w:val="18"/>
                <w:szCs w:val="20"/>
                <w:lang w:val="en-GB"/>
              </w:rPr>
            </w:pPr>
          </w:p>
        </w:tc>
        <w:tc>
          <w:tcPr>
            <w:tcW w:w="1620" w:type="dxa"/>
            <w:tcBorders>
              <w:bottom w:val="single" w:sz="4" w:space="0" w:color="auto"/>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c>
          <w:tcPr>
            <w:tcW w:w="1620" w:type="dxa"/>
            <w:tcBorders>
              <w:bottom w:val="single" w:sz="4" w:space="0" w:color="auto"/>
              <w:right w:val="nil"/>
            </w:tcBorders>
          </w:tcPr>
          <w:p w:rsidR="00B80897" w:rsidRPr="00B80897" w:rsidRDefault="00B80897" w:rsidP="00B80897">
            <w:pPr>
              <w:spacing w:after="0"/>
              <w:jc w:val="center"/>
              <w:outlineLvl w:val="0"/>
              <w:rPr>
                <w:rFonts w:ascii="Calibri" w:eastAsia="Calibri" w:hAnsi="Calibri" w:cs="Times New Roman"/>
                <w:sz w:val="18"/>
                <w:szCs w:val="20"/>
                <w:lang w:val="en-GB"/>
              </w:rPr>
            </w:pPr>
          </w:p>
        </w:tc>
      </w:tr>
      <w:tr w:rsidR="00B80897" w:rsidRPr="00B80897" w:rsidTr="00C649A0">
        <w:tc>
          <w:tcPr>
            <w:tcW w:w="1748" w:type="dxa"/>
            <w:tcBorders>
              <w:left w:val="nil"/>
              <w:bottom w:val="nil"/>
            </w:tcBorders>
          </w:tcPr>
          <w:p w:rsidR="00B80897" w:rsidRPr="00B80897" w:rsidRDefault="00B80897" w:rsidP="00B80897">
            <w:pPr>
              <w:spacing w:after="0"/>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 xml:space="preserve">All </w:t>
            </w:r>
            <w:r w:rsidRPr="00B80897">
              <w:rPr>
                <w:rFonts w:ascii="Arial" w:eastAsia="Calibri" w:hAnsi="Arial" w:cs="Times New Roman"/>
                <w:i/>
                <w:sz w:val="18"/>
                <w:szCs w:val="20"/>
                <w:lang w:val="en-GB"/>
              </w:rPr>
              <w:t xml:space="preserve">Candida spp. </w:t>
            </w:r>
            <w:r w:rsidRPr="00B80897">
              <w:rPr>
                <w:rFonts w:ascii="Arial" w:eastAsia="Calibri" w:hAnsi="Arial" w:cs="Times New Roman"/>
                <w:sz w:val="18"/>
                <w:szCs w:val="20"/>
                <w:lang w:val="en-GB"/>
              </w:rPr>
              <w:t>Isolates (353)</w:t>
            </w:r>
          </w:p>
        </w:tc>
        <w:tc>
          <w:tcPr>
            <w:tcW w:w="1600" w:type="dxa"/>
            <w:tcBorders>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1</w:t>
            </w:r>
          </w:p>
        </w:tc>
        <w:tc>
          <w:tcPr>
            <w:tcW w:w="1620" w:type="dxa"/>
            <w:tcBorders>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0.06–32</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4</w:t>
            </w:r>
          </w:p>
        </w:tc>
        <w:tc>
          <w:tcPr>
            <w:tcW w:w="1620" w:type="dxa"/>
            <w:tcBorders>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0.03</w:t>
            </w:r>
          </w:p>
        </w:tc>
        <w:tc>
          <w:tcPr>
            <w:tcW w:w="1620" w:type="dxa"/>
            <w:tcBorders>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0.06</w:t>
            </w:r>
          </w:p>
        </w:tc>
      </w:tr>
      <w:tr w:rsidR="00B80897" w:rsidRPr="00B80897" w:rsidTr="00C649A0">
        <w:tc>
          <w:tcPr>
            <w:tcW w:w="1748" w:type="dxa"/>
            <w:tcBorders>
              <w:top w:val="nil"/>
              <w:left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albicans </w:t>
            </w:r>
            <w:r w:rsidRPr="00B80897">
              <w:rPr>
                <w:rFonts w:ascii="Arial" w:eastAsia="Calibri" w:hAnsi="Arial" w:cs="Times New Roman"/>
                <w:sz w:val="18"/>
                <w:szCs w:val="20"/>
                <w:lang w:val="en-GB"/>
              </w:rPr>
              <w:t>(141)</w:t>
            </w:r>
          </w:p>
        </w:tc>
        <w:tc>
          <w:tcPr>
            <w:tcW w:w="160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w:t>
            </w:r>
            <w:r w:rsidRPr="00B80897">
              <w:rPr>
                <w:rFonts w:ascii="Arial" w:eastAsia="Calibri" w:hAnsi="Arial" w:cs="Times New Roman"/>
                <w:sz w:val="18"/>
                <w:szCs w:val="20"/>
                <w:lang w:val="en-GB"/>
              </w:rPr>
              <w:softHyphen/>
              <w:t>–0.5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0.25</w:t>
            </w:r>
          </w:p>
        </w:tc>
        <w:tc>
          <w:tcPr>
            <w:tcW w:w="1620" w:type="dxa"/>
            <w:tcBorders>
              <w:top w:val="nil"/>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0.06–8</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0.5</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0.0005–0.03</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0.008</w:t>
            </w:r>
          </w:p>
        </w:tc>
        <w:tc>
          <w:tcPr>
            <w:tcW w:w="1620" w:type="dxa"/>
            <w:tcBorders>
              <w:top w:val="nil"/>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0.016</w:t>
            </w:r>
          </w:p>
        </w:tc>
      </w:tr>
      <w:tr w:rsidR="00B80897" w:rsidRPr="00B80897" w:rsidTr="00C649A0">
        <w:tc>
          <w:tcPr>
            <w:tcW w:w="1748" w:type="dxa"/>
            <w:tcBorders>
              <w:top w:val="nil"/>
              <w:left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glabrata </w:t>
            </w:r>
            <w:r w:rsidRPr="00B80897">
              <w:rPr>
                <w:rFonts w:ascii="Arial" w:eastAsia="Calibri" w:hAnsi="Arial" w:cs="Times New Roman"/>
                <w:sz w:val="18"/>
                <w:szCs w:val="20"/>
                <w:lang w:val="en-GB"/>
              </w:rPr>
              <w:t>(44)</w:t>
            </w:r>
          </w:p>
        </w:tc>
        <w:tc>
          <w:tcPr>
            <w:tcW w:w="160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0.125–1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1</w:t>
            </w:r>
          </w:p>
        </w:tc>
        <w:tc>
          <w:tcPr>
            <w:tcW w:w="1620" w:type="dxa"/>
            <w:tcBorders>
              <w:top w:val="nil"/>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1–16</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4</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0.004–0.125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0.06</w:t>
            </w:r>
          </w:p>
        </w:tc>
        <w:tc>
          <w:tcPr>
            <w:tcW w:w="1620" w:type="dxa"/>
            <w:tcBorders>
              <w:top w:val="nil"/>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0.008–0.25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0.06</w:t>
            </w:r>
          </w:p>
        </w:tc>
      </w:tr>
      <w:tr w:rsidR="00B80897" w:rsidRPr="00B80897" w:rsidTr="00C649A0">
        <w:tc>
          <w:tcPr>
            <w:tcW w:w="1748" w:type="dxa"/>
            <w:tcBorders>
              <w:top w:val="nil"/>
              <w:left w:val="nil"/>
              <w:bottom w:val="nil"/>
            </w:tcBorders>
          </w:tcPr>
          <w:p w:rsidR="00B80897" w:rsidRPr="00B80897" w:rsidRDefault="00B80897" w:rsidP="00B80897">
            <w:pPr>
              <w:spacing w:after="0"/>
              <w:ind w:left="227"/>
              <w:outlineLvl w:val="0"/>
              <w:rPr>
                <w:rFonts w:ascii="Arial" w:eastAsia="Calibri" w:hAnsi="Arial" w:cs="Times New Roman"/>
                <w:sz w:val="18"/>
                <w:szCs w:val="20"/>
                <w:lang w:val="en-GB"/>
              </w:rPr>
            </w:pPr>
            <w:r w:rsidRPr="00B80897">
              <w:rPr>
                <w:rFonts w:ascii="Arial" w:eastAsia="Calibri" w:hAnsi="Arial" w:cs="Times New Roman"/>
                <w:i/>
                <w:sz w:val="18"/>
                <w:szCs w:val="20"/>
                <w:lang w:val="en-GB"/>
              </w:rPr>
              <w:t>C. inconspicua</w:t>
            </w:r>
            <w:r w:rsidRPr="00B80897">
              <w:rPr>
                <w:rFonts w:ascii="Arial" w:eastAsia="Calibri" w:hAnsi="Arial" w:cs="Times New Roman"/>
                <w:sz w:val="18"/>
                <w:szCs w:val="20"/>
                <w:lang w:val="en-GB"/>
              </w:rPr>
              <w:t xml:space="preserve"> (2)</w:t>
            </w:r>
          </w:p>
        </w:tc>
        <w:tc>
          <w:tcPr>
            <w:tcW w:w="160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0.5–1</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1620" w:type="dxa"/>
            <w:tcBorders>
              <w:top w:val="nil"/>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8–16</w:t>
            </w:r>
          </w:p>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0.03–0.125</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c>
          <w:tcPr>
            <w:tcW w:w="1620" w:type="dxa"/>
            <w:tcBorders>
              <w:top w:val="nil"/>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0.06–0.125</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N/A</w:t>
            </w:r>
          </w:p>
        </w:tc>
      </w:tr>
      <w:tr w:rsidR="00B80897" w:rsidRPr="00B80897" w:rsidTr="00C649A0">
        <w:tc>
          <w:tcPr>
            <w:tcW w:w="1748" w:type="dxa"/>
            <w:tcBorders>
              <w:top w:val="nil"/>
              <w:left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krusei </w:t>
            </w:r>
            <w:r w:rsidRPr="00B80897">
              <w:rPr>
                <w:rFonts w:ascii="Arial" w:eastAsia="Calibri" w:hAnsi="Arial" w:cs="Times New Roman"/>
                <w:sz w:val="18"/>
                <w:szCs w:val="20"/>
                <w:lang w:val="en-GB"/>
              </w:rPr>
              <w:t>(19)</w:t>
            </w:r>
          </w:p>
        </w:tc>
        <w:tc>
          <w:tcPr>
            <w:tcW w:w="160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0.5–1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1</w:t>
            </w:r>
          </w:p>
        </w:tc>
        <w:tc>
          <w:tcPr>
            <w:tcW w:w="1620" w:type="dxa"/>
            <w:tcBorders>
              <w:top w:val="nil"/>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8–32</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16</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0.016–0.125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0.125</w:t>
            </w:r>
          </w:p>
        </w:tc>
        <w:tc>
          <w:tcPr>
            <w:tcW w:w="1620" w:type="dxa"/>
            <w:tcBorders>
              <w:top w:val="nil"/>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0.125</w:t>
            </w:r>
          </w:p>
        </w:tc>
      </w:tr>
      <w:tr w:rsidR="00B80897" w:rsidRPr="00B80897" w:rsidTr="00C649A0">
        <w:tc>
          <w:tcPr>
            <w:tcW w:w="1748" w:type="dxa"/>
            <w:tcBorders>
              <w:top w:val="nil"/>
              <w:left w:val="nil"/>
              <w:bottom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t xml:space="preserve">C. parapsilosis </w:t>
            </w:r>
            <w:r w:rsidRPr="00B80897">
              <w:rPr>
                <w:rFonts w:ascii="Arial" w:eastAsia="Calibri" w:hAnsi="Arial" w:cs="Times New Roman"/>
                <w:sz w:val="18"/>
                <w:szCs w:val="20"/>
                <w:lang w:val="en-GB"/>
              </w:rPr>
              <w:lastRenderedPageBreak/>
              <w:t>(37)</w:t>
            </w:r>
          </w:p>
        </w:tc>
        <w:tc>
          <w:tcPr>
            <w:tcW w:w="160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lastRenderedPageBreak/>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lastRenderedPageBreak/>
              <w:t>MIC</w:t>
            </w:r>
            <w:r w:rsidRPr="00B80897">
              <w:rPr>
                <w:rFonts w:ascii="Arial" w:eastAsia="Calibri" w:hAnsi="Arial" w:cs="Times New Roman"/>
                <w:sz w:val="18"/>
                <w:szCs w:val="20"/>
                <w:vertAlign w:val="subscript"/>
                <w:lang w:val="en-GB"/>
              </w:rPr>
              <w:t>90</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lastRenderedPageBreak/>
              <w:t>0.06–1</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lastRenderedPageBreak/>
              <w:t>1</w:t>
            </w:r>
          </w:p>
        </w:tc>
        <w:tc>
          <w:tcPr>
            <w:tcW w:w="1620" w:type="dxa"/>
            <w:tcBorders>
              <w:top w:val="nil"/>
              <w:bottom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lastRenderedPageBreak/>
              <w:t>0.125–32</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lastRenderedPageBreak/>
              <w:t>4</w:t>
            </w:r>
          </w:p>
        </w:tc>
        <w:tc>
          <w:tcPr>
            <w:tcW w:w="1620" w:type="dxa"/>
            <w:tcBorders>
              <w:top w:val="nil"/>
              <w:bottom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lastRenderedPageBreak/>
              <w:t>0.001–0.125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lastRenderedPageBreak/>
              <w:t>0.016</w:t>
            </w:r>
          </w:p>
        </w:tc>
        <w:tc>
          <w:tcPr>
            <w:tcW w:w="1620" w:type="dxa"/>
            <w:tcBorders>
              <w:top w:val="nil"/>
              <w:bottom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lastRenderedPageBreak/>
              <w:t>0.001–0.125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lastRenderedPageBreak/>
              <w:t>0.06</w:t>
            </w:r>
          </w:p>
        </w:tc>
      </w:tr>
      <w:tr w:rsidR="00B80897" w:rsidRPr="00B80897" w:rsidTr="00C649A0">
        <w:tc>
          <w:tcPr>
            <w:tcW w:w="1748" w:type="dxa"/>
            <w:tcBorders>
              <w:top w:val="nil"/>
              <w:left w:val="nil"/>
            </w:tcBorders>
          </w:tcPr>
          <w:p w:rsidR="00B80897" w:rsidRPr="00B80897" w:rsidRDefault="00B80897" w:rsidP="00B80897">
            <w:pPr>
              <w:spacing w:after="0"/>
              <w:ind w:left="227"/>
              <w:outlineLvl w:val="0"/>
              <w:rPr>
                <w:rFonts w:ascii="Calibri" w:eastAsia="Calibri" w:hAnsi="Calibri" w:cs="Times New Roman"/>
                <w:sz w:val="18"/>
                <w:szCs w:val="20"/>
                <w:lang w:val="en-GB"/>
              </w:rPr>
            </w:pPr>
            <w:r w:rsidRPr="00B80897">
              <w:rPr>
                <w:rFonts w:ascii="Arial" w:eastAsia="Calibri" w:hAnsi="Arial" w:cs="Times New Roman"/>
                <w:i/>
                <w:sz w:val="18"/>
                <w:szCs w:val="20"/>
                <w:lang w:val="en-GB"/>
              </w:rPr>
              <w:lastRenderedPageBreak/>
              <w:t xml:space="preserve">C. tropicalis </w:t>
            </w:r>
            <w:r w:rsidRPr="00B80897">
              <w:rPr>
                <w:rFonts w:ascii="Arial" w:eastAsia="Calibri" w:hAnsi="Arial" w:cs="Times New Roman"/>
                <w:sz w:val="18"/>
                <w:szCs w:val="20"/>
                <w:lang w:val="en-GB"/>
              </w:rPr>
              <w:t>(90)</w:t>
            </w:r>
          </w:p>
        </w:tc>
        <w:tc>
          <w:tcPr>
            <w:tcW w:w="1600" w:type="dxa"/>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MIC range</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MIC</w:t>
            </w:r>
            <w:r w:rsidRPr="00B80897">
              <w:rPr>
                <w:rFonts w:ascii="Arial" w:eastAsia="Calibri" w:hAnsi="Arial" w:cs="Times New Roman"/>
                <w:sz w:val="18"/>
                <w:szCs w:val="20"/>
                <w:vertAlign w:val="subscript"/>
                <w:lang w:val="en-GB"/>
              </w:rPr>
              <w:t>90</w:t>
            </w:r>
          </w:p>
        </w:tc>
        <w:tc>
          <w:tcPr>
            <w:tcW w:w="1620" w:type="dxa"/>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0.03–0.5</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0.25</w:t>
            </w:r>
          </w:p>
        </w:tc>
        <w:tc>
          <w:tcPr>
            <w:tcW w:w="1620" w:type="dxa"/>
            <w:tcBorders>
              <w:top w:val="nil"/>
            </w:tcBorders>
          </w:tcPr>
          <w:p w:rsidR="00B80897" w:rsidRPr="00B80897" w:rsidRDefault="00B80897" w:rsidP="00B80897">
            <w:pPr>
              <w:spacing w:after="0"/>
              <w:ind w:right="317"/>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0.06–0.5</w:t>
            </w:r>
          </w:p>
          <w:p w:rsidR="00B80897" w:rsidRPr="00B80897" w:rsidRDefault="00B80897" w:rsidP="00B80897">
            <w:pPr>
              <w:spacing w:after="0"/>
              <w:ind w:right="317"/>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0.25</w:t>
            </w:r>
          </w:p>
        </w:tc>
        <w:tc>
          <w:tcPr>
            <w:tcW w:w="1620" w:type="dxa"/>
            <w:tcBorders>
              <w:top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0.0005–0.03</w:t>
            </w:r>
          </w:p>
          <w:p w:rsidR="00B80897" w:rsidRPr="00B80897" w:rsidRDefault="00B80897" w:rsidP="00B80897">
            <w:pPr>
              <w:spacing w:after="0"/>
              <w:jc w:val="center"/>
              <w:outlineLvl w:val="0"/>
              <w:rPr>
                <w:rFonts w:ascii="Calibri" w:eastAsia="Calibri" w:hAnsi="Calibri" w:cs="Times New Roman"/>
                <w:sz w:val="18"/>
                <w:szCs w:val="20"/>
                <w:lang w:val="en-GB"/>
              </w:rPr>
            </w:pPr>
            <w:r w:rsidRPr="00B80897">
              <w:rPr>
                <w:rFonts w:ascii="Arial" w:eastAsia="Calibri" w:hAnsi="Arial" w:cs="Times New Roman"/>
                <w:sz w:val="18"/>
                <w:szCs w:val="20"/>
                <w:lang w:val="en-GB"/>
              </w:rPr>
              <w:t>0.016</w:t>
            </w:r>
          </w:p>
        </w:tc>
        <w:tc>
          <w:tcPr>
            <w:tcW w:w="1620" w:type="dxa"/>
            <w:tcBorders>
              <w:top w:val="nil"/>
              <w:right w:val="nil"/>
            </w:tcBorders>
          </w:tcPr>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0.001–0.03</w:t>
            </w:r>
          </w:p>
          <w:p w:rsidR="00B80897" w:rsidRPr="00B80897" w:rsidRDefault="00B80897" w:rsidP="00B80897">
            <w:pPr>
              <w:spacing w:after="0"/>
              <w:jc w:val="center"/>
              <w:outlineLvl w:val="0"/>
              <w:rPr>
                <w:rFonts w:ascii="Arial" w:eastAsia="Calibri" w:hAnsi="Arial" w:cs="Times New Roman"/>
                <w:sz w:val="18"/>
                <w:szCs w:val="20"/>
                <w:lang w:val="en-GB"/>
              </w:rPr>
            </w:pPr>
            <w:r w:rsidRPr="00B80897">
              <w:rPr>
                <w:rFonts w:ascii="Arial" w:eastAsia="Calibri" w:hAnsi="Arial" w:cs="Times New Roman"/>
                <w:sz w:val="18"/>
                <w:szCs w:val="20"/>
                <w:lang w:val="en-GB"/>
              </w:rPr>
              <w:t>0.016</w:t>
            </w:r>
          </w:p>
        </w:tc>
      </w:tr>
    </w:tbl>
    <w:p w:rsidR="00B80897" w:rsidRPr="00B80897" w:rsidRDefault="00B80897" w:rsidP="00B80897">
      <w:pPr>
        <w:outlineLvl w:val="0"/>
        <w:rPr>
          <w:rFonts w:ascii="Arial" w:eastAsia="Calibri" w:hAnsi="Arial" w:cs="Times New Roman"/>
          <w:sz w:val="20"/>
        </w:rPr>
      </w:pPr>
      <w:r w:rsidRPr="00B80897">
        <w:rPr>
          <w:rFonts w:ascii="Arial" w:eastAsia="Calibri" w:hAnsi="Arial" w:cs="Times New Roman"/>
          <w:sz w:val="20"/>
        </w:rPr>
        <w:t>MIC was analysed by the isavuconazole and caspofungin study arms separately</w:t>
      </w:r>
    </w:p>
    <w:p w:rsidR="00B80897" w:rsidRPr="00B80897" w:rsidRDefault="00B80897" w:rsidP="00B80897">
      <w:pPr>
        <w:outlineLvl w:val="0"/>
        <w:rPr>
          <w:rFonts w:ascii="Arial" w:eastAsia="Calibri" w:hAnsi="Arial" w:cs="Times New Roman"/>
          <w:sz w:val="20"/>
        </w:rPr>
      </w:pPr>
      <w:r w:rsidRPr="00B80897">
        <w:rPr>
          <w:rFonts w:ascii="Arial" w:eastAsia="Calibri" w:hAnsi="Arial" w:cs="Times New Roman"/>
          <w:sz w:val="20"/>
        </w:rPr>
        <w:t>Patients may have had multiple baseline isolates tested</w:t>
      </w:r>
    </w:p>
    <w:p w:rsidR="00B80897" w:rsidRPr="00B80897" w:rsidRDefault="00B80897" w:rsidP="00B80897">
      <w:pPr>
        <w:outlineLvl w:val="0"/>
        <w:rPr>
          <w:rFonts w:ascii="Arial" w:eastAsia="Calibri" w:hAnsi="Arial" w:cs="Times New Roman"/>
          <w:sz w:val="20"/>
        </w:rPr>
      </w:pPr>
      <w:r w:rsidRPr="00B80897">
        <w:rPr>
          <w:rFonts w:ascii="Arial" w:eastAsia="Calibri" w:hAnsi="Arial" w:cs="Times New Roman"/>
          <w:sz w:val="20"/>
        </w:rPr>
        <w:t>Non-</w:t>
      </w:r>
      <w:r w:rsidRPr="00B80897">
        <w:rPr>
          <w:rFonts w:ascii="Arial" w:eastAsia="Calibri" w:hAnsi="Arial" w:cs="Times New Roman"/>
          <w:i/>
          <w:sz w:val="20"/>
        </w:rPr>
        <w:t>Candida</w:t>
      </w:r>
      <w:r w:rsidRPr="00B80897">
        <w:rPr>
          <w:rFonts w:ascii="Arial" w:eastAsia="Calibri" w:hAnsi="Arial" w:cs="Times New Roman"/>
          <w:sz w:val="20"/>
        </w:rPr>
        <w:t xml:space="preserve"> and less prevalent </w:t>
      </w:r>
      <w:r w:rsidRPr="00B80897">
        <w:rPr>
          <w:rFonts w:ascii="Arial" w:eastAsia="Calibri" w:hAnsi="Arial" w:cs="Times New Roman"/>
          <w:i/>
          <w:sz w:val="20"/>
        </w:rPr>
        <w:t>Candida</w:t>
      </w:r>
      <w:r w:rsidRPr="00B80897">
        <w:rPr>
          <w:rFonts w:ascii="Arial" w:eastAsia="Calibri" w:hAnsi="Arial" w:cs="Times New Roman"/>
          <w:sz w:val="20"/>
        </w:rPr>
        <w:t xml:space="preserve"> spp. are not included in the table; the MIC</w:t>
      </w:r>
      <w:r w:rsidRPr="00B80897">
        <w:rPr>
          <w:rFonts w:ascii="Arial" w:eastAsia="Calibri" w:hAnsi="Arial" w:cs="Times New Roman"/>
          <w:sz w:val="20"/>
          <w:vertAlign w:val="subscript"/>
        </w:rPr>
        <w:t>90</w:t>
      </w:r>
      <w:r w:rsidRPr="00B80897">
        <w:rPr>
          <w:rFonts w:ascii="Arial" w:eastAsia="Calibri" w:hAnsi="Arial" w:cs="Times New Roman"/>
          <w:sz w:val="20"/>
        </w:rPr>
        <w:t xml:space="preserve"> is not reported if isolates numbered less than 10</w:t>
      </w:r>
    </w:p>
    <w:p w:rsidR="00B80897" w:rsidRPr="00B80897" w:rsidRDefault="00B80897" w:rsidP="00B80897">
      <w:pPr>
        <w:spacing w:after="0"/>
        <w:rPr>
          <w:rFonts w:ascii="Arial" w:eastAsia="Calibri" w:hAnsi="Arial" w:cs="Times New Roman"/>
          <w:sz w:val="20"/>
          <w:szCs w:val="20"/>
        </w:rPr>
      </w:pPr>
      <w:r w:rsidRPr="00B80897">
        <w:rPr>
          <w:rFonts w:ascii="Arial" w:eastAsia="Calibri" w:hAnsi="Arial" w:cs="Times New Roman"/>
          <w:sz w:val="20"/>
          <w:szCs w:val="20"/>
        </w:rPr>
        <w:t>Abbreviations: EUCAST,</w:t>
      </w:r>
      <w:r w:rsidRPr="00B80897">
        <w:rPr>
          <w:rFonts w:ascii="Calibri" w:eastAsia="Calibri" w:hAnsi="Calibri" w:cs="Times New Roman"/>
        </w:rPr>
        <w:t xml:space="preserve"> </w:t>
      </w:r>
      <w:r w:rsidRPr="00B80897">
        <w:rPr>
          <w:rFonts w:ascii="Arial" w:eastAsia="Calibri" w:hAnsi="Arial" w:cs="Times New Roman"/>
          <w:sz w:val="20"/>
          <w:szCs w:val="20"/>
        </w:rPr>
        <w:t>European Committee on Antimicrobial Susceptibility Testing; MIC, minimum inhibitory concentration; mITT, modified intent to treat.</w:t>
      </w:r>
    </w:p>
    <w:p w:rsidR="00B80897" w:rsidRPr="00B80897" w:rsidRDefault="00B80897" w:rsidP="00B80897">
      <w:pPr>
        <w:spacing w:after="0"/>
        <w:rPr>
          <w:rFonts w:ascii="Arial" w:eastAsia="Calibri" w:hAnsi="Arial" w:cs="Times New Roman"/>
          <w:sz w:val="20"/>
          <w:szCs w:val="20"/>
        </w:rPr>
      </w:pPr>
    </w:p>
    <w:p w:rsidR="00B80897" w:rsidRPr="00B80897" w:rsidRDefault="00B80897" w:rsidP="00B80897">
      <w:pPr>
        <w:spacing w:line="276" w:lineRule="auto"/>
        <w:rPr>
          <w:rFonts w:ascii="Arial" w:eastAsia="Calibri" w:hAnsi="Arial" w:cs="Times New Roman"/>
          <w:sz w:val="20"/>
          <w:szCs w:val="20"/>
        </w:rPr>
      </w:pPr>
      <w:r w:rsidRPr="00B80897">
        <w:rPr>
          <w:rFonts w:ascii="Arial" w:eastAsia="Calibri" w:hAnsi="Arial" w:cs="Times New Roman"/>
          <w:sz w:val="20"/>
          <w:szCs w:val="20"/>
        </w:rPr>
        <w:br w:type="page"/>
      </w:r>
    </w:p>
    <w:p w:rsidR="00B80897" w:rsidRPr="00B80897" w:rsidRDefault="00B80897" w:rsidP="00B80897">
      <w:pPr>
        <w:rPr>
          <w:rFonts w:ascii="Arial" w:eastAsia="Calibri" w:hAnsi="Arial" w:cs="Times New Roman"/>
          <w:b/>
          <w:szCs w:val="24"/>
        </w:rPr>
      </w:pPr>
      <w:r w:rsidRPr="00B80897">
        <w:rPr>
          <w:rFonts w:ascii="Arial" w:eastAsia="Calibri" w:hAnsi="Arial" w:cs="Arial"/>
          <w:b/>
          <w:szCs w:val="24"/>
        </w:rPr>
        <w:lastRenderedPageBreak/>
        <w:t xml:space="preserve">Table S4. </w:t>
      </w:r>
      <w:r w:rsidRPr="00B80897">
        <w:rPr>
          <w:rFonts w:ascii="Arial" w:eastAsia="Calibri" w:hAnsi="Arial" w:cs="Arial"/>
          <w:szCs w:val="24"/>
        </w:rPr>
        <w:t>Breakthrough and Recurrent Fungal Infections</w:t>
      </w:r>
    </w:p>
    <w:tbl>
      <w:tblPr>
        <w:tblStyle w:val="TableGridLight11"/>
        <w:tblW w:w="7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842"/>
        <w:gridCol w:w="1842"/>
      </w:tblGrid>
      <w:tr w:rsidR="00B80897" w:rsidRPr="00B80897" w:rsidTr="00C649A0">
        <w:trPr>
          <w:trHeight w:val="1086"/>
        </w:trPr>
        <w:tc>
          <w:tcPr>
            <w:tcW w:w="3369" w:type="dxa"/>
            <w:tcBorders>
              <w:top w:val="single" w:sz="4" w:space="0" w:color="auto"/>
              <w:left w:val="nil"/>
              <w:right w:val="nil"/>
            </w:tcBorders>
          </w:tcPr>
          <w:p w:rsidR="00B80897" w:rsidRPr="00B80897" w:rsidRDefault="00B80897" w:rsidP="00B80897">
            <w:pPr>
              <w:spacing w:before="100" w:beforeAutospacing="1" w:after="100" w:afterAutospacing="1" w:line="360" w:lineRule="auto"/>
              <w:rPr>
                <w:rFonts w:ascii="Arial" w:eastAsia="Calibri" w:hAnsi="Arial" w:cs="Arial"/>
                <w:b/>
                <w:sz w:val="20"/>
              </w:rPr>
            </w:pPr>
            <w:r w:rsidRPr="00B80897">
              <w:rPr>
                <w:rFonts w:ascii="Arial" w:eastAsia="Calibri" w:hAnsi="Arial" w:cs="Arial"/>
                <w:b/>
                <w:sz w:val="20"/>
              </w:rPr>
              <w:t>Outcomes, n (%)</w:t>
            </w:r>
          </w:p>
        </w:tc>
        <w:tc>
          <w:tcPr>
            <w:tcW w:w="1842" w:type="dxa"/>
            <w:tcBorders>
              <w:top w:val="single" w:sz="4" w:space="0" w:color="auto"/>
              <w:left w:val="nil"/>
              <w:right w:val="nil"/>
            </w:tcBorders>
          </w:tcPr>
          <w:p w:rsidR="00B80897" w:rsidRPr="00B80897" w:rsidRDefault="00B80897" w:rsidP="00B80897">
            <w:pPr>
              <w:spacing w:before="100" w:beforeAutospacing="1" w:after="100" w:afterAutospacing="1" w:line="360" w:lineRule="auto"/>
              <w:jc w:val="center"/>
              <w:rPr>
                <w:rFonts w:ascii="Arial" w:eastAsia="Calibri" w:hAnsi="Arial" w:cs="Arial"/>
                <w:b/>
                <w:bCs/>
                <w:sz w:val="20"/>
              </w:rPr>
            </w:pPr>
            <w:r w:rsidRPr="00B80897">
              <w:rPr>
                <w:rFonts w:ascii="Arial" w:eastAsia="Calibri" w:hAnsi="Arial" w:cs="Arial"/>
                <w:b/>
                <w:bCs/>
                <w:sz w:val="20"/>
              </w:rPr>
              <w:t>Isavuconazole</w:t>
            </w:r>
          </w:p>
          <w:p w:rsidR="00B80897" w:rsidRPr="00B80897" w:rsidRDefault="00B80897" w:rsidP="00B80897">
            <w:pPr>
              <w:spacing w:before="100" w:beforeAutospacing="1" w:after="100" w:afterAutospacing="1" w:line="360" w:lineRule="auto"/>
              <w:jc w:val="center"/>
              <w:rPr>
                <w:rFonts w:ascii="Arial" w:eastAsia="Calibri" w:hAnsi="Arial" w:cs="Arial"/>
                <w:b/>
                <w:bCs/>
                <w:sz w:val="20"/>
              </w:rPr>
            </w:pPr>
            <w:r w:rsidRPr="00B80897">
              <w:rPr>
                <w:rFonts w:ascii="Arial" w:eastAsia="Calibri" w:hAnsi="Arial" w:cs="Arial"/>
                <w:b/>
                <w:bCs/>
                <w:sz w:val="20"/>
              </w:rPr>
              <w:t>(n=199)</w:t>
            </w:r>
          </w:p>
        </w:tc>
        <w:tc>
          <w:tcPr>
            <w:tcW w:w="1842" w:type="dxa"/>
            <w:tcBorders>
              <w:top w:val="single" w:sz="4" w:space="0" w:color="auto"/>
              <w:left w:val="nil"/>
              <w:right w:val="nil"/>
            </w:tcBorders>
          </w:tcPr>
          <w:p w:rsidR="00B80897" w:rsidRPr="00B80897" w:rsidRDefault="00B80897" w:rsidP="00B80897">
            <w:pPr>
              <w:spacing w:before="100" w:beforeAutospacing="1" w:after="100" w:afterAutospacing="1" w:line="360" w:lineRule="auto"/>
              <w:jc w:val="center"/>
              <w:rPr>
                <w:rFonts w:ascii="Arial" w:eastAsia="Calibri" w:hAnsi="Arial" w:cs="Arial"/>
                <w:b/>
                <w:bCs/>
                <w:sz w:val="20"/>
              </w:rPr>
            </w:pPr>
            <w:r w:rsidRPr="00B80897">
              <w:rPr>
                <w:rFonts w:ascii="Arial" w:eastAsia="Calibri" w:hAnsi="Arial" w:cs="Arial"/>
                <w:b/>
                <w:bCs/>
                <w:sz w:val="20"/>
              </w:rPr>
              <w:t>Caspofungin</w:t>
            </w:r>
          </w:p>
          <w:p w:rsidR="00B80897" w:rsidRPr="00B80897" w:rsidRDefault="00B80897" w:rsidP="00B80897">
            <w:pPr>
              <w:spacing w:before="100" w:beforeAutospacing="1" w:after="100" w:afterAutospacing="1" w:line="360" w:lineRule="auto"/>
              <w:jc w:val="center"/>
              <w:rPr>
                <w:rFonts w:ascii="Arial" w:eastAsia="Calibri" w:hAnsi="Arial" w:cs="Arial"/>
                <w:b/>
                <w:bCs/>
                <w:sz w:val="20"/>
              </w:rPr>
            </w:pPr>
            <w:r w:rsidRPr="00B80897">
              <w:rPr>
                <w:rFonts w:ascii="Arial" w:eastAsia="Calibri" w:hAnsi="Arial" w:cs="Arial"/>
                <w:b/>
                <w:bCs/>
                <w:sz w:val="20"/>
              </w:rPr>
              <w:t>(n=201)</w:t>
            </w:r>
          </w:p>
        </w:tc>
      </w:tr>
      <w:tr w:rsidR="00B80897" w:rsidRPr="00B80897" w:rsidTr="00C649A0">
        <w:trPr>
          <w:trHeight w:val="20"/>
        </w:trPr>
        <w:tc>
          <w:tcPr>
            <w:tcW w:w="3369" w:type="dxa"/>
            <w:tcBorders>
              <w:left w:val="nil"/>
              <w:right w:val="nil"/>
            </w:tcBorders>
          </w:tcPr>
          <w:p w:rsidR="00B80897" w:rsidRPr="00B80897" w:rsidRDefault="00B80897" w:rsidP="00B80897">
            <w:pPr>
              <w:spacing w:after="0" w:line="360" w:lineRule="auto"/>
              <w:rPr>
                <w:rFonts w:ascii="Arial" w:eastAsia="Calibri" w:hAnsi="Arial" w:cs="Arial"/>
                <w:sz w:val="20"/>
              </w:rPr>
            </w:pPr>
            <w:r w:rsidRPr="00B80897">
              <w:rPr>
                <w:rFonts w:ascii="Arial" w:eastAsia="Calibri" w:hAnsi="Arial" w:cs="Arial"/>
                <w:sz w:val="20"/>
              </w:rPr>
              <w:t>EOIVT</w:t>
            </w:r>
          </w:p>
        </w:tc>
        <w:tc>
          <w:tcPr>
            <w:tcW w:w="1842" w:type="dxa"/>
            <w:tcBorders>
              <w:left w:val="nil"/>
              <w:right w:val="nil"/>
            </w:tcBorders>
          </w:tcPr>
          <w:p w:rsidR="00B80897" w:rsidRPr="00B80897" w:rsidRDefault="00B80897" w:rsidP="00B80897">
            <w:pPr>
              <w:spacing w:after="0" w:line="360" w:lineRule="auto"/>
              <w:jc w:val="center"/>
              <w:rPr>
                <w:rFonts w:ascii="Arial" w:eastAsia="Calibri" w:hAnsi="Arial" w:cs="Arial"/>
                <w:sz w:val="20"/>
              </w:rPr>
            </w:pPr>
          </w:p>
        </w:tc>
        <w:tc>
          <w:tcPr>
            <w:tcW w:w="1842" w:type="dxa"/>
            <w:tcBorders>
              <w:left w:val="nil"/>
              <w:right w:val="nil"/>
            </w:tcBorders>
          </w:tcPr>
          <w:p w:rsidR="00B80897" w:rsidRPr="00B80897" w:rsidRDefault="00B80897" w:rsidP="00B80897">
            <w:pPr>
              <w:spacing w:after="0" w:line="360" w:lineRule="auto"/>
              <w:jc w:val="center"/>
              <w:rPr>
                <w:rFonts w:ascii="Arial" w:eastAsia="Calibri" w:hAnsi="Arial" w:cs="Arial"/>
                <w:bCs/>
                <w:sz w:val="20"/>
              </w:rPr>
            </w:pPr>
          </w:p>
        </w:tc>
      </w:tr>
      <w:tr w:rsidR="00B80897" w:rsidRPr="00B80897" w:rsidTr="00C649A0">
        <w:trPr>
          <w:trHeight w:val="20"/>
        </w:trPr>
        <w:tc>
          <w:tcPr>
            <w:tcW w:w="3369" w:type="dxa"/>
            <w:tcBorders>
              <w:left w:val="nil"/>
              <w:right w:val="nil"/>
            </w:tcBorders>
          </w:tcPr>
          <w:p w:rsidR="00B80897" w:rsidRPr="00B80897" w:rsidRDefault="00B80897" w:rsidP="00B80897">
            <w:pPr>
              <w:spacing w:after="0" w:line="360" w:lineRule="auto"/>
              <w:ind w:left="567"/>
              <w:rPr>
                <w:rFonts w:ascii="Arial" w:eastAsia="Calibri" w:hAnsi="Arial" w:cs="Arial"/>
                <w:sz w:val="20"/>
              </w:rPr>
            </w:pPr>
            <w:r w:rsidRPr="00B80897">
              <w:rPr>
                <w:rFonts w:ascii="Arial" w:eastAsia="Calibri" w:hAnsi="Arial" w:cs="Arial"/>
                <w:sz w:val="20"/>
              </w:rPr>
              <w:t>Breakthrough infection</w:t>
            </w:r>
          </w:p>
          <w:p w:rsidR="00B80897" w:rsidRPr="00B80897" w:rsidRDefault="00B80897" w:rsidP="00B80897">
            <w:pPr>
              <w:spacing w:after="0" w:line="360" w:lineRule="auto"/>
              <w:ind w:left="794"/>
              <w:rPr>
                <w:rFonts w:ascii="Arial" w:eastAsia="Calibri" w:hAnsi="Arial" w:cs="Arial"/>
                <w:i/>
                <w:sz w:val="20"/>
              </w:rPr>
            </w:pPr>
            <w:r w:rsidRPr="00B80897">
              <w:rPr>
                <w:rFonts w:ascii="Arial" w:eastAsia="Calibri" w:hAnsi="Arial" w:cs="Arial"/>
                <w:i/>
                <w:sz w:val="20"/>
              </w:rPr>
              <w:t>C. krusei</w:t>
            </w:r>
          </w:p>
          <w:p w:rsidR="00B80897" w:rsidRPr="00B80897" w:rsidRDefault="00B80897" w:rsidP="00B80897">
            <w:pPr>
              <w:spacing w:after="0" w:line="360" w:lineRule="auto"/>
              <w:ind w:left="794"/>
              <w:rPr>
                <w:rFonts w:ascii="Arial" w:eastAsia="Calibri" w:hAnsi="Arial" w:cs="Arial"/>
                <w:i/>
                <w:sz w:val="20"/>
              </w:rPr>
            </w:pPr>
            <w:r w:rsidRPr="00B80897">
              <w:rPr>
                <w:rFonts w:ascii="Arial" w:eastAsia="Calibri" w:hAnsi="Arial" w:cs="Arial"/>
                <w:i/>
                <w:sz w:val="20"/>
              </w:rPr>
              <w:t>C. parapsilosis</w:t>
            </w:r>
          </w:p>
          <w:p w:rsidR="00B80897" w:rsidRPr="00B80897" w:rsidRDefault="00B80897" w:rsidP="00B80897">
            <w:pPr>
              <w:spacing w:after="0" w:line="360" w:lineRule="auto"/>
              <w:ind w:left="794"/>
              <w:rPr>
                <w:rFonts w:ascii="Arial" w:eastAsia="Calibri" w:hAnsi="Arial" w:cs="Arial"/>
                <w:sz w:val="20"/>
              </w:rPr>
            </w:pPr>
            <w:r w:rsidRPr="00B80897">
              <w:rPr>
                <w:rFonts w:ascii="Arial" w:eastAsia="Calibri" w:hAnsi="Arial" w:cs="Arial"/>
                <w:i/>
                <w:sz w:val="20"/>
              </w:rPr>
              <w:t>Aspergillus fumigatus</w:t>
            </w:r>
          </w:p>
        </w:tc>
        <w:tc>
          <w:tcPr>
            <w:tcW w:w="1842" w:type="dxa"/>
            <w:tcBorders>
              <w:left w:val="nil"/>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0</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tc>
        <w:tc>
          <w:tcPr>
            <w:tcW w:w="1842" w:type="dxa"/>
            <w:tcBorders>
              <w:left w:val="nil"/>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 xml:space="preserve">4 </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 xml:space="preserve">1 </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 xml:space="preserve">2 </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tc>
      </w:tr>
      <w:tr w:rsidR="00B80897" w:rsidRPr="00B80897" w:rsidTr="00C649A0">
        <w:trPr>
          <w:trHeight w:val="20"/>
        </w:trPr>
        <w:tc>
          <w:tcPr>
            <w:tcW w:w="3369" w:type="dxa"/>
            <w:tcBorders>
              <w:left w:val="nil"/>
              <w:right w:val="nil"/>
            </w:tcBorders>
          </w:tcPr>
          <w:p w:rsidR="00B80897" w:rsidRPr="00B80897" w:rsidRDefault="00B80897" w:rsidP="00B80897">
            <w:pPr>
              <w:spacing w:after="0" w:line="360" w:lineRule="auto"/>
              <w:rPr>
                <w:rFonts w:ascii="Arial" w:eastAsia="MS Gothic" w:hAnsi="Arial" w:cs="Arial"/>
                <w:i/>
                <w:iCs/>
                <w:color w:val="404040"/>
                <w:sz w:val="20"/>
                <w:szCs w:val="20"/>
              </w:rPr>
            </w:pPr>
            <w:r w:rsidRPr="00B80897">
              <w:rPr>
                <w:rFonts w:ascii="Arial" w:eastAsia="Calibri" w:hAnsi="Arial" w:cs="Arial"/>
                <w:sz w:val="20"/>
              </w:rPr>
              <w:t xml:space="preserve"> EOT</w:t>
            </w:r>
          </w:p>
        </w:tc>
        <w:tc>
          <w:tcPr>
            <w:tcW w:w="1842" w:type="dxa"/>
            <w:tcBorders>
              <w:left w:val="nil"/>
              <w:right w:val="nil"/>
            </w:tcBorders>
          </w:tcPr>
          <w:p w:rsidR="00B80897" w:rsidRPr="00B80897" w:rsidRDefault="00B80897" w:rsidP="00B80897">
            <w:pPr>
              <w:spacing w:after="0" w:line="360" w:lineRule="auto"/>
              <w:jc w:val="center"/>
              <w:rPr>
                <w:rFonts w:ascii="Arial" w:eastAsia="Calibri" w:hAnsi="Arial" w:cs="Arial"/>
                <w:sz w:val="20"/>
              </w:rPr>
            </w:pPr>
          </w:p>
        </w:tc>
        <w:tc>
          <w:tcPr>
            <w:tcW w:w="1842" w:type="dxa"/>
            <w:tcBorders>
              <w:left w:val="nil"/>
              <w:right w:val="nil"/>
            </w:tcBorders>
          </w:tcPr>
          <w:p w:rsidR="00B80897" w:rsidRPr="00B80897" w:rsidRDefault="00B80897" w:rsidP="00B80897">
            <w:pPr>
              <w:spacing w:after="0" w:line="360" w:lineRule="auto"/>
              <w:jc w:val="center"/>
              <w:rPr>
                <w:rFonts w:ascii="Arial" w:eastAsia="Calibri" w:hAnsi="Arial" w:cs="Arial"/>
                <w:sz w:val="20"/>
              </w:rPr>
            </w:pPr>
          </w:p>
        </w:tc>
      </w:tr>
      <w:tr w:rsidR="00B80897" w:rsidRPr="00B80897" w:rsidTr="00C649A0">
        <w:trPr>
          <w:trHeight w:val="20"/>
        </w:trPr>
        <w:tc>
          <w:tcPr>
            <w:tcW w:w="3369" w:type="dxa"/>
            <w:tcBorders>
              <w:left w:val="nil"/>
              <w:bottom w:val="nil"/>
              <w:right w:val="nil"/>
            </w:tcBorders>
          </w:tcPr>
          <w:p w:rsidR="00B80897" w:rsidRPr="00B80897" w:rsidRDefault="00B80897" w:rsidP="00B80897">
            <w:pPr>
              <w:spacing w:after="0" w:line="360" w:lineRule="auto"/>
              <w:ind w:left="567"/>
              <w:rPr>
                <w:rFonts w:ascii="Arial" w:eastAsia="Calibri" w:hAnsi="Arial" w:cs="Arial"/>
                <w:sz w:val="20"/>
              </w:rPr>
            </w:pPr>
            <w:r w:rsidRPr="00B80897">
              <w:rPr>
                <w:rFonts w:ascii="Arial" w:eastAsia="Calibri" w:hAnsi="Arial" w:cs="Arial"/>
                <w:sz w:val="20"/>
              </w:rPr>
              <w:t>Breakthrough infection</w:t>
            </w:r>
          </w:p>
          <w:p w:rsidR="00B80897" w:rsidRPr="00B80897" w:rsidRDefault="00B80897" w:rsidP="00B80897">
            <w:pPr>
              <w:spacing w:after="0" w:line="360" w:lineRule="auto"/>
              <w:ind w:left="794"/>
              <w:rPr>
                <w:rFonts w:ascii="Arial" w:eastAsia="Calibri" w:hAnsi="Arial" w:cs="Arial"/>
                <w:i/>
                <w:sz w:val="20"/>
              </w:rPr>
            </w:pPr>
            <w:r w:rsidRPr="00B80897">
              <w:rPr>
                <w:rFonts w:ascii="Arial" w:eastAsia="Calibri" w:hAnsi="Arial" w:cs="Arial"/>
                <w:i/>
                <w:sz w:val="20"/>
              </w:rPr>
              <w:t>C. guillermondii</w:t>
            </w:r>
          </w:p>
        </w:tc>
        <w:tc>
          <w:tcPr>
            <w:tcW w:w="1842" w:type="dxa"/>
            <w:tcBorders>
              <w:left w:val="nil"/>
              <w:bottom w:val="nil"/>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0</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tc>
        <w:tc>
          <w:tcPr>
            <w:tcW w:w="1842" w:type="dxa"/>
            <w:tcBorders>
              <w:left w:val="nil"/>
              <w:bottom w:val="nil"/>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 xml:space="preserve">1 </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tc>
      </w:tr>
      <w:tr w:rsidR="00B80897" w:rsidRPr="00B80897" w:rsidTr="00C649A0">
        <w:trPr>
          <w:trHeight w:val="20"/>
        </w:trPr>
        <w:tc>
          <w:tcPr>
            <w:tcW w:w="3369" w:type="dxa"/>
            <w:tcBorders>
              <w:top w:val="nil"/>
              <w:left w:val="nil"/>
              <w:right w:val="nil"/>
            </w:tcBorders>
          </w:tcPr>
          <w:p w:rsidR="00B80897" w:rsidRPr="00B80897" w:rsidRDefault="00B80897" w:rsidP="00B80897">
            <w:pPr>
              <w:spacing w:after="0" w:line="360" w:lineRule="auto"/>
              <w:ind w:left="567"/>
              <w:rPr>
                <w:rFonts w:ascii="Arial" w:eastAsia="MS Gothic" w:hAnsi="Arial" w:cs="Arial"/>
                <w:i/>
                <w:iCs/>
                <w:color w:val="404040"/>
                <w:sz w:val="20"/>
                <w:szCs w:val="20"/>
              </w:rPr>
            </w:pPr>
            <w:r w:rsidRPr="00B80897">
              <w:rPr>
                <w:rFonts w:ascii="Arial" w:eastAsia="Calibri" w:hAnsi="Arial" w:cs="Arial"/>
                <w:sz w:val="20"/>
              </w:rPr>
              <w:t>Recurrent infection</w:t>
            </w:r>
          </w:p>
        </w:tc>
        <w:tc>
          <w:tcPr>
            <w:tcW w:w="1842" w:type="dxa"/>
            <w:tcBorders>
              <w:top w:val="nil"/>
              <w:left w:val="nil"/>
              <w:right w:val="nil"/>
            </w:tcBorders>
          </w:tcPr>
          <w:p w:rsidR="00B80897" w:rsidRPr="00B80897" w:rsidRDefault="00B80897" w:rsidP="00B80897">
            <w:pPr>
              <w:spacing w:after="0" w:line="360" w:lineRule="auto"/>
              <w:jc w:val="center"/>
              <w:rPr>
                <w:rFonts w:ascii="Arial" w:eastAsia="MS Gothic" w:hAnsi="Arial" w:cs="Arial"/>
                <w:i/>
                <w:iCs/>
                <w:color w:val="404040"/>
                <w:sz w:val="20"/>
                <w:szCs w:val="20"/>
              </w:rPr>
            </w:pPr>
            <w:r w:rsidRPr="00B80897">
              <w:rPr>
                <w:rFonts w:ascii="Arial" w:eastAsia="Calibri" w:hAnsi="Arial" w:cs="Arial"/>
                <w:sz w:val="20"/>
              </w:rPr>
              <w:t>0</w:t>
            </w:r>
          </w:p>
        </w:tc>
        <w:tc>
          <w:tcPr>
            <w:tcW w:w="1842" w:type="dxa"/>
            <w:tcBorders>
              <w:top w:val="nil"/>
              <w:left w:val="nil"/>
              <w:right w:val="nil"/>
            </w:tcBorders>
          </w:tcPr>
          <w:p w:rsidR="00B80897" w:rsidRPr="00B80897" w:rsidRDefault="00B80897" w:rsidP="00B80897">
            <w:pPr>
              <w:spacing w:after="0" w:line="360" w:lineRule="auto"/>
              <w:jc w:val="center"/>
              <w:rPr>
                <w:rFonts w:ascii="Arial" w:eastAsia="MS Gothic" w:hAnsi="Arial" w:cs="Arial"/>
                <w:i/>
                <w:iCs/>
                <w:color w:val="404040"/>
                <w:sz w:val="20"/>
                <w:szCs w:val="20"/>
              </w:rPr>
            </w:pPr>
            <w:r w:rsidRPr="00B80897">
              <w:rPr>
                <w:rFonts w:ascii="Arial" w:eastAsia="Calibri" w:hAnsi="Arial" w:cs="Arial"/>
                <w:sz w:val="20"/>
              </w:rPr>
              <w:t>0</w:t>
            </w:r>
          </w:p>
        </w:tc>
      </w:tr>
      <w:tr w:rsidR="00B80897" w:rsidRPr="00B80897" w:rsidTr="00C649A0">
        <w:trPr>
          <w:trHeight w:val="20"/>
        </w:trPr>
        <w:tc>
          <w:tcPr>
            <w:tcW w:w="3369" w:type="dxa"/>
            <w:tcBorders>
              <w:left w:val="nil"/>
              <w:right w:val="nil"/>
            </w:tcBorders>
          </w:tcPr>
          <w:p w:rsidR="00B80897" w:rsidRPr="00B80897" w:rsidRDefault="00B80897" w:rsidP="00B80897">
            <w:pPr>
              <w:spacing w:after="0" w:line="360" w:lineRule="auto"/>
              <w:rPr>
                <w:rFonts w:ascii="Arial" w:eastAsia="MS Gothic" w:hAnsi="Arial" w:cs="Arial"/>
                <w:i/>
                <w:iCs/>
                <w:color w:val="404040"/>
                <w:sz w:val="20"/>
                <w:szCs w:val="20"/>
              </w:rPr>
            </w:pPr>
            <w:r w:rsidRPr="00B80897">
              <w:rPr>
                <w:rFonts w:ascii="Arial" w:eastAsia="Calibri" w:hAnsi="Arial" w:cs="Arial"/>
                <w:sz w:val="20"/>
              </w:rPr>
              <w:t>2 weeks after EOT</w:t>
            </w:r>
          </w:p>
        </w:tc>
        <w:tc>
          <w:tcPr>
            <w:tcW w:w="1842" w:type="dxa"/>
            <w:tcBorders>
              <w:left w:val="nil"/>
              <w:right w:val="nil"/>
            </w:tcBorders>
          </w:tcPr>
          <w:p w:rsidR="00B80897" w:rsidRPr="00B80897" w:rsidRDefault="00B80897" w:rsidP="00B80897">
            <w:pPr>
              <w:spacing w:after="0" w:line="360" w:lineRule="auto"/>
              <w:jc w:val="center"/>
              <w:rPr>
                <w:rFonts w:ascii="Arial" w:eastAsia="Calibri" w:hAnsi="Arial" w:cs="Arial"/>
                <w:sz w:val="20"/>
              </w:rPr>
            </w:pPr>
          </w:p>
        </w:tc>
        <w:tc>
          <w:tcPr>
            <w:tcW w:w="1842" w:type="dxa"/>
            <w:tcBorders>
              <w:left w:val="nil"/>
              <w:right w:val="nil"/>
            </w:tcBorders>
          </w:tcPr>
          <w:p w:rsidR="00B80897" w:rsidRPr="00B80897" w:rsidRDefault="00B80897" w:rsidP="00B80897">
            <w:pPr>
              <w:spacing w:after="0" w:line="360" w:lineRule="auto"/>
              <w:jc w:val="center"/>
              <w:rPr>
                <w:rFonts w:ascii="Arial" w:eastAsia="Calibri" w:hAnsi="Arial" w:cs="Arial"/>
                <w:sz w:val="20"/>
              </w:rPr>
            </w:pPr>
          </w:p>
        </w:tc>
      </w:tr>
      <w:tr w:rsidR="00B80897" w:rsidRPr="00B80897" w:rsidTr="00C649A0">
        <w:trPr>
          <w:trHeight w:val="20"/>
        </w:trPr>
        <w:tc>
          <w:tcPr>
            <w:tcW w:w="3369" w:type="dxa"/>
            <w:tcBorders>
              <w:left w:val="nil"/>
              <w:bottom w:val="nil"/>
              <w:right w:val="nil"/>
            </w:tcBorders>
          </w:tcPr>
          <w:p w:rsidR="00B80897" w:rsidRPr="00B80897" w:rsidRDefault="00B80897" w:rsidP="00B80897">
            <w:pPr>
              <w:spacing w:after="0" w:line="360" w:lineRule="auto"/>
              <w:ind w:left="567"/>
              <w:rPr>
                <w:rFonts w:ascii="Arial" w:eastAsia="Calibri" w:hAnsi="Arial" w:cs="Arial"/>
                <w:sz w:val="20"/>
              </w:rPr>
            </w:pPr>
            <w:r w:rsidRPr="00B80897">
              <w:rPr>
                <w:rFonts w:ascii="Arial" w:eastAsia="Calibri" w:hAnsi="Arial" w:cs="Arial"/>
                <w:sz w:val="20"/>
              </w:rPr>
              <w:t>Emergent infection</w:t>
            </w:r>
          </w:p>
          <w:p w:rsidR="00B80897" w:rsidRPr="00B80897" w:rsidRDefault="00B80897" w:rsidP="00B80897">
            <w:pPr>
              <w:spacing w:after="0" w:line="360" w:lineRule="auto"/>
              <w:ind w:left="794"/>
              <w:rPr>
                <w:rFonts w:ascii="Arial" w:eastAsia="Calibri" w:hAnsi="Arial" w:cs="Arial"/>
                <w:i/>
                <w:sz w:val="20"/>
              </w:rPr>
            </w:pPr>
            <w:r w:rsidRPr="00B80897">
              <w:rPr>
                <w:rFonts w:ascii="Arial" w:eastAsia="Calibri" w:hAnsi="Arial" w:cs="Arial"/>
                <w:i/>
                <w:sz w:val="20"/>
              </w:rPr>
              <w:t>C. albicans</w:t>
            </w:r>
          </w:p>
        </w:tc>
        <w:tc>
          <w:tcPr>
            <w:tcW w:w="1842" w:type="dxa"/>
            <w:tcBorders>
              <w:left w:val="nil"/>
              <w:bottom w:val="nil"/>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0</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tc>
        <w:tc>
          <w:tcPr>
            <w:tcW w:w="1842" w:type="dxa"/>
            <w:tcBorders>
              <w:left w:val="nil"/>
              <w:bottom w:val="nil"/>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tc>
      </w:tr>
      <w:tr w:rsidR="00B80897" w:rsidRPr="00B80897" w:rsidTr="00C649A0">
        <w:trPr>
          <w:trHeight w:val="20"/>
        </w:trPr>
        <w:tc>
          <w:tcPr>
            <w:tcW w:w="3369" w:type="dxa"/>
            <w:tcBorders>
              <w:top w:val="nil"/>
              <w:left w:val="nil"/>
              <w:right w:val="nil"/>
            </w:tcBorders>
          </w:tcPr>
          <w:p w:rsidR="00B80897" w:rsidRPr="00B80897" w:rsidRDefault="00B80897" w:rsidP="00B80897">
            <w:pPr>
              <w:spacing w:after="0" w:line="360" w:lineRule="auto"/>
              <w:ind w:left="567"/>
              <w:rPr>
                <w:rFonts w:ascii="Arial" w:eastAsia="Calibri" w:hAnsi="Arial" w:cs="Arial"/>
                <w:sz w:val="20"/>
              </w:rPr>
            </w:pPr>
            <w:r w:rsidRPr="00B80897">
              <w:rPr>
                <w:rFonts w:ascii="Arial" w:eastAsia="Calibri" w:hAnsi="Arial" w:cs="Arial"/>
                <w:sz w:val="20"/>
              </w:rPr>
              <w:t>Recurrent infection</w:t>
            </w:r>
          </w:p>
          <w:p w:rsidR="00B80897" w:rsidRPr="00B80897" w:rsidRDefault="00B80897" w:rsidP="00B80897">
            <w:pPr>
              <w:spacing w:after="0" w:line="360" w:lineRule="auto"/>
              <w:ind w:left="794"/>
              <w:rPr>
                <w:rFonts w:ascii="Arial" w:eastAsia="Calibri" w:hAnsi="Arial" w:cs="Arial"/>
                <w:i/>
                <w:sz w:val="20"/>
              </w:rPr>
            </w:pPr>
            <w:r w:rsidRPr="00B80897">
              <w:rPr>
                <w:rFonts w:ascii="Arial" w:eastAsia="Calibri" w:hAnsi="Arial" w:cs="Arial"/>
                <w:i/>
                <w:sz w:val="20"/>
              </w:rPr>
              <w:t>C. albicans</w:t>
            </w:r>
          </w:p>
          <w:p w:rsidR="00B80897" w:rsidRPr="00B80897" w:rsidRDefault="00B80897" w:rsidP="00B80897">
            <w:pPr>
              <w:spacing w:after="0" w:line="360" w:lineRule="auto"/>
              <w:ind w:left="794"/>
              <w:rPr>
                <w:rFonts w:ascii="Arial" w:eastAsia="Calibri" w:hAnsi="Arial" w:cs="Arial"/>
                <w:i/>
                <w:sz w:val="20"/>
              </w:rPr>
            </w:pPr>
            <w:r w:rsidRPr="00B80897">
              <w:rPr>
                <w:rFonts w:ascii="Arial" w:eastAsia="Calibri" w:hAnsi="Arial" w:cs="Arial"/>
                <w:i/>
                <w:sz w:val="20"/>
              </w:rPr>
              <w:t>C. glabrata</w:t>
            </w:r>
          </w:p>
          <w:p w:rsidR="00B80897" w:rsidRPr="00B80897" w:rsidRDefault="00B80897" w:rsidP="00B80897">
            <w:pPr>
              <w:spacing w:after="0" w:line="360" w:lineRule="auto"/>
              <w:ind w:left="794"/>
              <w:rPr>
                <w:rFonts w:ascii="Arial" w:eastAsia="Calibri" w:hAnsi="Arial" w:cs="Times New Roman"/>
                <w:i/>
                <w:sz w:val="20"/>
              </w:rPr>
            </w:pPr>
            <w:r w:rsidRPr="00B80897">
              <w:rPr>
                <w:rFonts w:ascii="Arial" w:eastAsia="Calibri" w:hAnsi="Arial" w:cs="Arial"/>
                <w:i/>
                <w:sz w:val="20"/>
              </w:rPr>
              <w:t>C. parapsilosis</w:t>
            </w:r>
          </w:p>
        </w:tc>
        <w:tc>
          <w:tcPr>
            <w:tcW w:w="1842" w:type="dxa"/>
            <w:tcBorders>
              <w:top w:val="nil"/>
              <w:left w:val="nil"/>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2</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tc>
        <w:tc>
          <w:tcPr>
            <w:tcW w:w="1842" w:type="dxa"/>
            <w:tcBorders>
              <w:top w:val="nil"/>
              <w:left w:val="nil"/>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2</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tc>
      </w:tr>
      <w:tr w:rsidR="00B80897" w:rsidRPr="00B80897" w:rsidTr="00C649A0">
        <w:trPr>
          <w:trHeight w:val="20"/>
        </w:trPr>
        <w:tc>
          <w:tcPr>
            <w:tcW w:w="3369" w:type="dxa"/>
            <w:tcBorders>
              <w:left w:val="nil"/>
              <w:right w:val="nil"/>
            </w:tcBorders>
          </w:tcPr>
          <w:p w:rsidR="00B80897" w:rsidRPr="00B80897" w:rsidRDefault="00B80897" w:rsidP="00B80897">
            <w:pPr>
              <w:spacing w:after="0" w:line="360" w:lineRule="auto"/>
              <w:rPr>
                <w:rFonts w:ascii="Arial" w:eastAsia="MS Gothic" w:hAnsi="Arial" w:cs="Arial"/>
                <w:i/>
                <w:iCs/>
                <w:color w:val="404040"/>
                <w:sz w:val="20"/>
                <w:szCs w:val="20"/>
              </w:rPr>
            </w:pPr>
            <w:r w:rsidRPr="00B80897">
              <w:rPr>
                <w:rFonts w:ascii="Arial" w:eastAsia="Calibri" w:hAnsi="Arial" w:cs="Arial"/>
                <w:sz w:val="20"/>
              </w:rPr>
              <w:t>6 weeks after EOT</w:t>
            </w:r>
          </w:p>
        </w:tc>
        <w:tc>
          <w:tcPr>
            <w:tcW w:w="1842" w:type="dxa"/>
            <w:tcBorders>
              <w:left w:val="nil"/>
              <w:right w:val="nil"/>
            </w:tcBorders>
          </w:tcPr>
          <w:p w:rsidR="00B80897" w:rsidRPr="00B80897" w:rsidRDefault="00B80897" w:rsidP="00B80897">
            <w:pPr>
              <w:spacing w:after="0" w:line="360" w:lineRule="auto"/>
              <w:jc w:val="center"/>
              <w:rPr>
                <w:rFonts w:ascii="Arial" w:eastAsia="Calibri" w:hAnsi="Arial" w:cs="Arial"/>
                <w:sz w:val="20"/>
              </w:rPr>
            </w:pPr>
          </w:p>
        </w:tc>
        <w:tc>
          <w:tcPr>
            <w:tcW w:w="1842" w:type="dxa"/>
            <w:tcBorders>
              <w:left w:val="nil"/>
              <w:right w:val="nil"/>
            </w:tcBorders>
          </w:tcPr>
          <w:p w:rsidR="00B80897" w:rsidRPr="00B80897" w:rsidRDefault="00B80897" w:rsidP="00B80897">
            <w:pPr>
              <w:spacing w:after="0" w:line="360" w:lineRule="auto"/>
              <w:jc w:val="center"/>
              <w:rPr>
                <w:rFonts w:ascii="Arial" w:eastAsia="Calibri" w:hAnsi="Arial" w:cs="Arial"/>
                <w:sz w:val="20"/>
              </w:rPr>
            </w:pPr>
          </w:p>
        </w:tc>
      </w:tr>
      <w:tr w:rsidR="00B80897" w:rsidRPr="00B80897" w:rsidTr="00C649A0">
        <w:trPr>
          <w:trHeight w:val="20"/>
        </w:trPr>
        <w:tc>
          <w:tcPr>
            <w:tcW w:w="3369" w:type="dxa"/>
            <w:tcBorders>
              <w:left w:val="nil"/>
              <w:bottom w:val="nil"/>
              <w:right w:val="nil"/>
            </w:tcBorders>
          </w:tcPr>
          <w:p w:rsidR="00B80897" w:rsidRPr="00B80897" w:rsidRDefault="00B80897" w:rsidP="00B80897">
            <w:pPr>
              <w:spacing w:after="0" w:line="360" w:lineRule="auto"/>
              <w:ind w:left="567"/>
              <w:rPr>
                <w:rFonts w:ascii="Arial" w:eastAsia="Calibri" w:hAnsi="Arial" w:cs="Arial"/>
                <w:sz w:val="20"/>
              </w:rPr>
            </w:pPr>
            <w:r w:rsidRPr="00B80897">
              <w:rPr>
                <w:rFonts w:ascii="Arial" w:eastAsia="Calibri" w:hAnsi="Arial" w:cs="Arial"/>
                <w:sz w:val="20"/>
              </w:rPr>
              <w:t>Emergent infection</w:t>
            </w:r>
          </w:p>
          <w:p w:rsidR="00B80897" w:rsidRPr="00B80897" w:rsidRDefault="00B80897" w:rsidP="00B80897">
            <w:pPr>
              <w:spacing w:after="0" w:line="360" w:lineRule="auto"/>
              <w:ind w:left="794"/>
              <w:rPr>
                <w:rFonts w:ascii="Arial" w:eastAsia="Calibri" w:hAnsi="Arial" w:cs="Arial"/>
                <w:i/>
                <w:sz w:val="20"/>
              </w:rPr>
            </w:pPr>
            <w:r w:rsidRPr="00B80897">
              <w:rPr>
                <w:rFonts w:ascii="Arial" w:eastAsia="Calibri" w:hAnsi="Arial" w:cs="Arial"/>
                <w:i/>
                <w:sz w:val="20"/>
              </w:rPr>
              <w:t>C. parapsilosis</w:t>
            </w:r>
          </w:p>
          <w:p w:rsidR="00B80897" w:rsidRPr="00B80897" w:rsidRDefault="00B80897" w:rsidP="00B80897">
            <w:pPr>
              <w:spacing w:after="0" w:line="360" w:lineRule="auto"/>
              <w:ind w:left="794"/>
              <w:rPr>
                <w:rFonts w:ascii="Arial" w:eastAsia="Calibri" w:hAnsi="Arial" w:cs="Arial"/>
                <w:sz w:val="20"/>
              </w:rPr>
            </w:pPr>
            <w:r w:rsidRPr="00B80897">
              <w:rPr>
                <w:rFonts w:ascii="Arial" w:eastAsia="Calibri" w:hAnsi="Arial" w:cs="Arial"/>
                <w:i/>
                <w:sz w:val="20"/>
              </w:rPr>
              <w:t>C. norvegiensis</w:t>
            </w:r>
          </w:p>
        </w:tc>
        <w:tc>
          <w:tcPr>
            <w:tcW w:w="1842" w:type="dxa"/>
            <w:tcBorders>
              <w:left w:val="nil"/>
              <w:bottom w:val="nil"/>
              <w:right w:val="nil"/>
            </w:tcBorders>
          </w:tcPr>
          <w:p w:rsidR="00B80897" w:rsidRPr="00B80897" w:rsidRDefault="00B80897" w:rsidP="00B80897">
            <w:pPr>
              <w:spacing w:after="0" w:line="360" w:lineRule="auto"/>
              <w:jc w:val="center"/>
              <w:rPr>
                <w:rFonts w:ascii="Arial" w:eastAsia="Calibri" w:hAnsi="Arial" w:cs="Arial"/>
                <w:sz w:val="20"/>
                <w:vertAlign w:val="superscript"/>
              </w:rPr>
            </w:pPr>
            <w:r w:rsidRPr="00B80897">
              <w:rPr>
                <w:rFonts w:ascii="Arial" w:eastAsia="Calibri" w:hAnsi="Arial" w:cs="Arial"/>
                <w:sz w:val="20"/>
              </w:rPr>
              <w:t>2</w:t>
            </w:r>
            <w:r w:rsidRPr="00B80897">
              <w:rPr>
                <w:rFonts w:ascii="Arial" w:eastAsia="Calibri" w:hAnsi="Arial" w:cs="Arial"/>
                <w:sz w:val="20"/>
                <w:vertAlign w:val="superscript"/>
              </w:rPr>
              <w:t>a</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p w:rsidR="00B80897" w:rsidRPr="00B80897" w:rsidRDefault="00B80897" w:rsidP="00B80897">
            <w:pPr>
              <w:spacing w:after="0" w:line="360" w:lineRule="auto"/>
              <w:jc w:val="center"/>
              <w:rPr>
                <w:rFonts w:ascii="Arial" w:eastAsia="Calibri" w:hAnsi="Arial" w:cs="Times New Roman"/>
                <w:sz w:val="20"/>
              </w:rPr>
            </w:pPr>
            <w:r w:rsidRPr="00B80897">
              <w:rPr>
                <w:rFonts w:ascii="Arial" w:eastAsia="Calibri" w:hAnsi="Arial" w:cs="Arial"/>
                <w:sz w:val="20"/>
              </w:rPr>
              <w:t>1</w:t>
            </w:r>
          </w:p>
        </w:tc>
        <w:tc>
          <w:tcPr>
            <w:tcW w:w="1842" w:type="dxa"/>
            <w:tcBorders>
              <w:left w:val="nil"/>
              <w:bottom w:val="nil"/>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0</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tc>
      </w:tr>
      <w:tr w:rsidR="00B80897" w:rsidRPr="00B80897" w:rsidTr="00C649A0">
        <w:trPr>
          <w:trHeight w:val="20"/>
        </w:trPr>
        <w:tc>
          <w:tcPr>
            <w:tcW w:w="3369" w:type="dxa"/>
            <w:tcBorders>
              <w:top w:val="nil"/>
              <w:left w:val="nil"/>
              <w:bottom w:val="single" w:sz="4" w:space="0" w:color="auto"/>
              <w:right w:val="nil"/>
            </w:tcBorders>
          </w:tcPr>
          <w:p w:rsidR="00B80897" w:rsidRPr="00B80897" w:rsidRDefault="00B80897" w:rsidP="00B80897">
            <w:pPr>
              <w:spacing w:after="0" w:line="360" w:lineRule="auto"/>
              <w:ind w:left="567"/>
              <w:rPr>
                <w:rFonts w:ascii="Arial" w:eastAsia="Calibri" w:hAnsi="Arial" w:cs="Arial"/>
                <w:sz w:val="20"/>
              </w:rPr>
            </w:pPr>
            <w:r w:rsidRPr="00B80897">
              <w:rPr>
                <w:rFonts w:ascii="Arial" w:eastAsia="Calibri" w:hAnsi="Arial" w:cs="Arial"/>
                <w:sz w:val="20"/>
              </w:rPr>
              <w:t>Recurrent infection</w:t>
            </w:r>
          </w:p>
          <w:p w:rsidR="00B80897" w:rsidRPr="00B80897" w:rsidRDefault="00B80897" w:rsidP="00B80897">
            <w:pPr>
              <w:spacing w:after="0" w:line="360" w:lineRule="auto"/>
              <w:ind w:left="794"/>
              <w:rPr>
                <w:rFonts w:ascii="Arial" w:eastAsia="Calibri" w:hAnsi="Arial" w:cs="Arial"/>
                <w:i/>
                <w:sz w:val="20"/>
              </w:rPr>
            </w:pPr>
            <w:r w:rsidRPr="00B80897">
              <w:rPr>
                <w:rFonts w:ascii="Arial" w:eastAsia="Calibri" w:hAnsi="Arial" w:cs="Arial"/>
                <w:i/>
                <w:sz w:val="20"/>
              </w:rPr>
              <w:t>C. albicans</w:t>
            </w:r>
          </w:p>
          <w:p w:rsidR="00B80897" w:rsidRPr="00B80897" w:rsidRDefault="00B80897" w:rsidP="00B80897">
            <w:pPr>
              <w:spacing w:after="0" w:line="360" w:lineRule="auto"/>
              <w:ind w:left="794"/>
              <w:rPr>
                <w:rFonts w:ascii="Arial" w:eastAsia="Calibri" w:hAnsi="Arial" w:cs="Arial"/>
                <w:i/>
                <w:sz w:val="20"/>
              </w:rPr>
            </w:pPr>
            <w:r w:rsidRPr="00B80897">
              <w:rPr>
                <w:rFonts w:ascii="Arial" w:eastAsia="Calibri" w:hAnsi="Arial" w:cs="Arial"/>
                <w:i/>
                <w:sz w:val="20"/>
              </w:rPr>
              <w:t>C. glabrata</w:t>
            </w:r>
          </w:p>
          <w:p w:rsidR="00B80897" w:rsidRPr="00B80897" w:rsidRDefault="00B80897" w:rsidP="00B80897">
            <w:pPr>
              <w:spacing w:after="0" w:line="360" w:lineRule="auto"/>
              <w:ind w:left="794"/>
              <w:rPr>
                <w:rFonts w:ascii="Arial" w:eastAsia="Calibri" w:hAnsi="Arial" w:cs="Times New Roman"/>
                <w:i/>
                <w:sz w:val="20"/>
              </w:rPr>
            </w:pPr>
            <w:r w:rsidRPr="00B80897">
              <w:rPr>
                <w:rFonts w:ascii="Arial" w:eastAsia="Calibri" w:hAnsi="Arial" w:cs="Arial"/>
                <w:i/>
                <w:sz w:val="20"/>
              </w:rPr>
              <w:t>C. inconspicua</w:t>
            </w:r>
          </w:p>
        </w:tc>
        <w:tc>
          <w:tcPr>
            <w:tcW w:w="1842" w:type="dxa"/>
            <w:tcBorders>
              <w:top w:val="nil"/>
              <w:left w:val="nil"/>
              <w:bottom w:val="single" w:sz="4" w:space="0" w:color="auto"/>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 xml:space="preserve">2 </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1</w:t>
            </w:r>
          </w:p>
        </w:tc>
        <w:tc>
          <w:tcPr>
            <w:tcW w:w="1842" w:type="dxa"/>
            <w:tcBorders>
              <w:top w:val="nil"/>
              <w:left w:val="nil"/>
              <w:bottom w:val="single" w:sz="4" w:space="0" w:color="auto"/>
              <w:right w:val="nil"/>
            </w:tcBorders>
          </w:tcPr>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3</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3</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p w:rsidR="00B80897" w:rsidRPr="00B80897" w:rsidRDefault="00B80897" w:rsidP="00B80897">
            <w:pPr>
              <w:spacing w:after="0" w:line="360" w:lineRule="auto"/>
              <w:jc w:val="center"/>
              <w:rPr>
                <w:rFonts w:ascii="Arial" w:eastAsia="Calibri" w:hAnsi="Arial" w:cs="Arial"/>
                <w:sz w:val="20"/>
              </w:rPr>
            </w:pPr>
            <w:r w:rsidRPr="00B80897">
              <w:rPr>
                <w:rFonts w:ascii="Arial" w:eastAsia="Calibri" w:hAnsi="Arial" w:cs="Arial"/>
                <w:sz w:val="20"/>
              </w:rPr>
              <w:t>-</w:t>
            </w:r>
          </w:p>
        </w:tc>
      </w:tr>
    </w:tbl>
    <w:p w:rsidR="00B80897" w:rsidRPr="00B80897" w:rsidRDefault="00B80897" w:rsidP="00B80897">
      <w:pPr>
        <w:rPr>
          <w:rFonts w:ascii="Arial" w:eastAsia="Calibri" w:hAnsi="Arial" w:cs="Times New Roman"/>
          <w:sz w:val="20"/>
          <w:szCs w:val="24"/>
        </w:rPr>
      </w:pPr>
      <w:proofErr w:type="gramStart"/>
      <w:r w:rsidRPr="00B80897">
        <w:rPr>
          <w:rFonts w:ascii="Arial" w:eastAsia="Calibri" w:hAnsi="Arial" w:cs="Arial"/>
          <w:sz w:val="20"/>
          <w:szCs w:val="24"/>
          <w:vertAlign w:val="superscript"/>
        </w:rPr>
        <w:t>a</w:t>
      </w:r>
      <w:r w:rsidRPr="00B80897">
        <w:rPr>
          <w:rFonts w:ascii="Arial" w:eastAsia="Calibri" w:hAnsi="Arial" w:cs="Arial"/>
          <w:sz w:val="20"/>
          <w:szCs w:val="24"/>
        </w:rPr>
        <w:t>One</w:t>
      </w:r>
      <w:proofErr w:type="gramEnd"/>
      <w:r w:rsidRPr="00B80897">
        <w:rPr>
          <w:rFonts w:ascii="Arial" w:eastAsia="Calibri" w:hAnsi="Arial" w:cs="Arial"/>
          <w:sz w:val="20"/>
          <w:szCs w:val="24"/>
        </w:rPr>
        <w:t xml:space="preserve"> patient had both an emergent and recurrent infection</w:t>
      </w:r>
      <w:r w:rsidRPr="00B80897">
        <w:rPr>
          <w:rFonts w:ascii="Arial" w:eastAsia="Calibri" w:hAnsi="Arial" w:cs="Times New Roman"/>
          <w:sz w:val="20"/>
          <w:szCs w:val="24"/>
        </w:rPr>
        <w:t xml:space="preserve"> and was counted in both</w:t>
      </w:r>
    </w:p>
    <w:p w:rsidR="00B80897" w:rsidRPr="00B80897" w:rsidRDefault="00B80897" w:rsidP="00B80897">
      <w:pPr>
        <w:rPr>
          <w:rFonts w:ascii="Arial" w:eastAsia="Calibri" w:hAnsi="Arial" w:cs="Arial"/>
          <w:sz w:val="18"/>
          <w:szCs w:val="20"/>
        </w:rPr>
      </w:pPr>
      <w:r w:rsidRPr="00B80897">
        <w:rPr>
          <w:rFonts w:ascii="Arial" w:eastAsia="Calibri" w:hAnsi="Arial" w:cs="Arial"/>
          <w:sz w:val="18"/>
          <w:szCs w:val="20"/>
        </w:rPr>
        <w:t xml:space="preserve">An emergent infection is defined as </w:t>
      </w:r>
      <w:proofErr w:type="gramStart"/>
      <w:r w:rsidRPr="00B80897">
        <w:rPr>
          <w:rFonts w:ascii="Arial" w:eastAsia="Calibri" w:hAnsi="Arial" w:cs="Arial"/>
          <w:sz w:val="18"/>
          <w:szCs w:val="20"/>
        </w:rPr>
        <w:t>an</w:t>
      </w:r>
      <w:proofErr w:type="gramEnd"/>
      <w:r w:rsidRPr="00B80897">
        <w:rPr>
          <w:rFonts w:ascii="Arial" w:eastAsia="Calibri" w:hAnsi="Arial" w:cs="Arial"/>
          <w:sz w:val="18"/>
          <w:szCs w:val="20"/>
        </w:rPr>
        <w:t xml:space="preserve"> new infection occurring by a new species in a patient during the study period, a breakthrough infection is defined as any emergent infection occurring up to EOT, and a recurrent infection is any new infection in a patient occurring of the same species recorded at baseline during the study period.</w:t>
      </w:r>
    </w:p>
    <w:p w:rsidR="00B80897" w:rsidRPr="00B80897" w:rsidRDefault="00B80897" w:rsidP="00B80897">
      <w:pPr>
        <w:rPr>
          <w:rFonts w:ascii="Arial" w:eastAsia="Calibri" w:hAnsi="Arial" w:cs="Times New Roman"/>
          <w:b/>
        </w:rPr>
      </w:pPr>
    </w:p>
    <w:p w:rsidR="00B80897" w:rsidRPr="00B80897" w:rsidRDefault="00B80897" w:rsidP="00B80897">
      <w:pPr>
        <w:spacing w:line="276" w:lineRule="auto"/>
        <w:outlineLvl w:val="0"/>
        <w:rPr>
          <w:rFonts w:ascii="Arial" w:eastAsia="Calibri" w:hAnsi="Arial" w:cs="Arial"/>
          <w:b/>
          <w:lang w:val="en-GB"/>
        </w:rPr>
      </w:pPr>
      <w:r w:rsidRPr="00B80897">
        <w:rPr>
          <w:rFonts w:ascii="Arial" w:eastAsia="Calibri" w:hAnsi="Arial" w:cs="Arial"/>
          <w:b/>
          <w:lang w:val="en-GB"/>
        </w:rPr>
        <w:t>Table S5.</w:t>
      </w:r>
      <w:r w:rsidRPr="00B80897">
        <w:rPr>
          <w:rFonts w:ascii="Arial" w:eastAsia="Calibri" w:hAnsi="Arial" w:cs="Arial"/>
          <w:lang w:val="en-GB"/>
        </w:rPr>
        <w:t xml:space="preserve"> Response to Treatment in the mITT Population by Baseline Catheter Status</w:t>
      </w:r>
    </w:p>
    <w:tbl>
      <w:tblPr>
        <w:tblStyle w:val="TableGridLight11"/>
        <w:tblW w:w="9180"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4A0" w:firstRow="1" w:lastRow="0" w:firstColumn="1" w:lastColumn="0" w:noHBand="0" w:noVBand="1"/>
      </w:tblPr>
      <w:tblGrid>
        <w:gridCol w:w="2660"/>
        <w:gridCol w:w="1984"/>
        <w:gridCol w:w="1701"/>
        <w:gridCol w:w="2835"/>
      </w:tblGrid>
      <w:tr w:rsidR="00B80897" w:rsidRPr="00B80897" w:rsidTr="00C649A0">
        <w:trPr>
          <w:trHeight w:val="1012"/>
        </w:trPr>
        <w:tc>
          <w:tcPr>
            <w:tcW w:w="2660" w:type="dxa"/>
            <w:tcBorders>
              <w:bottom w:val="single" w:sz="4" w:space="0" w:color="auto"/>
              <w:right w:val="nil"/>
            </w:tcBorders>
          </w:tcPr>
          <w:p w:rsidR="00B80897" w:rsidRPr="00B80897" w:rsidRDefault="00B80897" w:rsidP="00B80897">
            <w:pPr>
              <w:spacing w:before="100" w:beforeAutospacing="1" w:after="100" w:afterAutospacing="1" w:line="360" w:lineRule="auto"/>
              <w:rPr>
                <w:rFonts w:ascii="Arial" w:eastAsia="Calibri" w:hAnsi="Arial" w:cs="Arial"/>
                <w:b/>
                <w:sz w:val="20"/>
                <w:szCs w:val="20"/>
              </w:rPr>
            </w:pPr>
            <w:r w:rsidRPr="00B80897">
              <w:rPr>
                <w:rFonts w:ascii="Arial" w:eastAsia="Calibri" w:hAnsi="Arial" w:cs="Arial"/>
                <w:b/>
                <w:szCs w:val="20"/>
              </w:rPr>
              <w:lastRenderedPageBreak/>
              <w:t>mITT Population</w:t>
            </w:r>
          </w:p>
        </w:tc>
        <w:tc>
          <w:tcPr>
            <w:tcW w:w="1984" w:type="dxa"/>
            <w:tcBorders>
              <w:left w:val="nil"/>
              <w:bottom w:val="single" w:sz="4" w:space="0" w:color="auto"/>
              <w:right w:val="nil"/>
            </w:tcBorders>
          </w:tcPr>
          <w:p w:rsidR="00B80897" w:rsidRPr="00B80897" w:rsidRDefault="00B80897" w:rsidP="00B80897">
            <w:pPr>
              <w:spacing w:before="100" w:beforeAutospacing="1" w:after="100" w:afterAutospacing="1" w:line="360" w:lineRule="auto"/>
              <w:jc w:val="center"/>
              <w:rPr>
                <w:rFonts w:ascii="Arial" w:eastAsia="Calibri" w:hAnsi="Arial" w:cs="Arial"/>
                <w:b/>
                <w:sz w:val="20"/>
                <w:szCs w:val="20"/>
              </w:rPr>
            </w:pPr>
            <w:r w:rsidRPr="00B80897">
              <w:rPr>
                <w:rFonts w:ascii="Arial" w:eastAsia="Calibri" w:hAnsi="Arial" w:cs="Arial"/>
                <w:b/>
                <w:sz w:val="20"/>
                <w:szCs w:val="20"/>
              </w:rPr>
              <w:t>Isavuconazole</w:t>
            </w:r>
          </w:p>
          <w:p w:rsidR="00B80897" w:rsidRPr="00B80897" w:rsidRDefault="00B80897" w:rsidP="00B80897">
            <w:pPr>
              <w:spacing w:before="100" w:beforeAutospacing="1" w:after="100" w:afterAutospacing="1" w:line="360" w:lineRule="auto"/>
              <w:ind w:firstLine="222"/>
              <w:jc w:val="center"/>
              <w:rPr>
                <w:rFonts w:ascii="Arial" w:eastAsia="Calibri" w:hAnsi="Arial" w:cs="Arial"/>
                <w:b/>
                <w:sz w:val="20"/>
                <w:szCs w:val="20"/>
              </w:rPr>
            </w:pPr>
            <w:r w:rsidRPr="00B80897">
              <w:rPr>
                <w:rFonts w:ascii="Arial" w:eastAsia="Calibri" w:hAnsi="Arial" w:cs="Arial"/>
                <w:b/>
                <w:sz w:val="20"/>
                <w:szCs w:val="20"/>
              </w:rPr>
              <w:t>(n=199)</w:t>
            </w:r>
          </w:p>
        </w:tc>
        <w:tc>
          <w:tcPr>
            <w:tcW w:w="1701" w:type="dxa"/>
            <w:tcBorders>
              <w:left w:val="nil"/>
              <w:bottom w:val="single" w:sz="4" w:space="0" w:color="auto"/>
              <w:right w:val="nil"/>
            </w:tcBorders>
          </w:tcPr>
          <w:p w:rsidR="00B80897" w:rsidRPr="00B80897" w:rsidRDefault="00B80897" w:rsidP="00B80897">
            <w:pPr>
              <w:spacing w:before="100" w:beforeAutospacing="1" w:after="100" w:afterAutospacing="1" w:line="360" w:lineRule="auto"/>
              <w:ind w:firstLine="222"/>
              <w:jc w:val="center"/>
              <w:rPr>
                <w:rFonts w:ascii="Arial" w:eastAsia="Calibri" w:hAnsi="Arial" w:cs="Arial"/>
                <w:b/>
                <w:sz w:val="20"/>
                <w:szCs w:val="20"/>
              </w:rPr>
            </w:pPr>
            <w:r w:rsidRPr="00B80897">
              <w:rPr>
                <w:rFonts w:ascii="Arial" w:eastAsia="Calibri" w:hAnsi="Arial" w:cs="Arial"/>
                <w:b/>
                <w:sz w:val="20"/>
                <w:szCs w:val="20"/>
              </w:rPr>
              <w:t>Caspofungin</w:t>
            </w:r>
          </w:p>
          <w:p w:rsidR="00B80897" w:rsidRPr="00B80897" w:rsidRDefault="00B80897" w:rsidP="00B80897">
            <w:pPr>
              <w:spacing w:before="100" w:beforeAutospacing="1" w:after="100" w:afterAutospacing="1" w:line="360" w:lineRule="auto"/>
              <w:ind w:firstLine="473"/>
              <w:jc w:val="center"/>
              <w:rPr>
                <w:rFonts w:ascii="Arial" w:eastAsia="Calibri" w:hAnsi="Arial" w:cs="Arial"/>
                <w:b/>
                <w:sz w:val="20"/>
                <w:szCs w:val="20"/>
              </w:rPr>
            </w:pPr>
            <w:r w:rsidRPr="00B80897">
              <w:rPr>
                <w:rFonts w:ascii="Arial" w:eastAsia="Calibri" w:hAnsi="Arial" w:cs="Arial"/>
                <w:b/>
                <w:sz w:val="20"/>
                <w:szCs w:val="20"/>
              </w:rPr>
              <w:t>(n=201)</w:t>
            </w:r>
          </w:p>
        </w:tc>
        <w:tc>
          <w:tcPr>
            <w:tcW w:w="2835" w:type="dxa"/>
            <w:tcBorders>
              <w:left w:val="nil"/>
              <w:bottom w:val="single" w:sz="4" w:space="0" w:color="auto"/>
            </w:tcBorders>
          </w:tcPr>
          <w:p w:rsidR="00B80897" w:rsidRPr="00B80897" w:rsidRDefault="00B80897" w:rsidP="00B80897">
            <w:pPr>
              <w:spacing w:after="0" w:line="240" w:lineRule="auto"/>
              <w:ind w:firstLine="221"/>
              <w:jc w:val="center"/>
              <w:rPr>
                <w:rFonts w:ascii="Arial" w:eastAsia="Calibri" w:hAnsi="Arial" w:cs="Arial"/>
                <w:b/>
                <w:sz w:val="20"/>
                <w:szCs w:val="20"/>
              </w:rPr>
            </w:pPr>
            <w:r w:rsidRPr="00B80897">
              <w:rPr>
                <w:rFonts w:ascii="Arial" w:eastAsia="Calibri" w:hAnsi="Arial" w:cs="Arial"/>
                <w:b/>
                <w:sz w:val="20"/>
                <w:szCs w:val="20"/>
              </w:rPr>
              <w:t>Adjusted Difference</w:t>
            </w:r>
            <w:r w:rsidRPr="00B80897">
              <w:rPr>
                <w:rFonts w:ascii="Arial" w:eastAsia="Calibri" w:hAnsi="Arial" w:cs="Arial"/>
                <w:b/>
                <w:sz w:val="20"/>
                <w:szCs w:val="20"/>
                <w:vertAlign w:val="superscript"/>
              </w:rPr>
              <w:t>a</w:t>
            </w:r>
          </w:p>
          <w:p w:rsidR="00B80897" w:rsidRPr="00B80897" w:rsidRDefault="00B80897" w:rsidP="00B80897">
            <w:pPr>
              <w:spacing w:after="0" w:line="240" w:lineRule="auto"/>
              <w:ind w:firstLine="222"/>
              <w:jc w:val="center"/>
              <w:rPr>
                <w:rFonts w:ascii="Arial" w:eastAsia="Calibri" w:hAnsi="Arial" w:cs="Arial"/>
                <w:b/>
                <w:sz w:val="20"/>
                <w:szCs w:val="20"/>
              </w:rPr>
            </w:pPr>
            <w:r w:rsidRPr="00B80897">
              <w:rPr>
                <w:rFonts w:ascii="Arial" w:eastAsia="Calibri" w:hAnsi="Arial" w:cs="Arial"/>
                <w:b/>
                <w:sz w:val="20"/>
                <w:szCs w:val="20"/>
              </w:rPr>
              <w:t>(95% CI)</w:t>
            </w:r>
          </w:p>
        </w:tc>
      </w:tr>
      <w:tr w:rsidR="00B80897" w:rsidRPr="00B80897" w:rsidTr="00C649A0">
        <w:trPr>
          <w:trHeight w:val="20"/>
        </w:trPr>
        <w:tc>
          <w:tcPr>
            <w:tcW w:w="2660" w:type="dxa"/>
            <w:tcBorders>
              <w:top w:val="nil"/>
              <w:bottom w:val="nil"/>
              <w:right w:val="nil"/>
            </w:tcBorders>
          </w:tcPr>
          <w:p w:rsidR="00B80897" w:rsidRPr="00B80897" w:rsidRDefault="00B80897" w:rsidP="00B80897">
            <w:pPr>
              <w:spacing w:after="0" w:line="360" w:lineRule="auto"/>
              <w:rPr>
                <w:rFonts w:ascii="Arial" w:eastAsia="Calibri" w:hAnsi="Arial" w:cs="Arial"/>
                <w:sz w:val="20"/>
                <w:szCs w:val="20"/>
              </w:rPr>
            </w:pPr>
            <w:r w:rsidRPr="00B80897">
              <w:rPr>
                <w:rFonts w:ascii="Arial" w:eastAsia="Calibri" w:hAnsi="Arial" w:cs="Arial"/>
                <w:sz w:val="20"/>
                <w:szCs w:val="20"/>
              </w:rPr>
              <w:t xml:space="preserve">Response by baseline catheter status </w:t>
            </w:r>
          </w:p>
          <w:p w:rsidR="00B80897" w:rsidRPr="00B80897" w:rsidRDefault="00B80897" w:rsidP="00B80897">
            <w:pPr>
              <w:spacing w:after="0" w:line="360" w:lineRule="auto"/>
              <w:rPr>
                <w:rFonts w:ascii="Arial" w:eastAsia="Calibri" w:hAnsi="Arial" w:cs="Arial"/>
                <w:sz w:val="20"/>
                <w:szCs w:val="20"/>
              </w:rPr>
            </w:pPr>
            <w:r w:rsidRPr="00B80897">
              <w:rPr>
                <w:rFonts w:ascii="Arial" w:eastAsia="Calibri" w:hAnsi="Arial" w:cs="Arial"/>
                <w:sz w:val="20"/>
                <w:szCs w:val="20"/>
              </w:rPr>
              <w:t xml:space="preserve">Overall response at EOIVT </w:t>
            </w:r>
          </w:p>
          <w:p w:rsidR="00B80897" w:rsidRPr="00B80897" w:rsidRDefault="00B80897" w:rsidP="00B80897">
            <w:pPr>
              <w:spacing w:after="0" w:line="360" w:lineRule="auto"/>
              <w:ind w:left="340"/>
              <w:rPr>
                <w:rFonts w:ascii="Arial" w:eastAsia="Calibri" w:hAnsi="Arial" w:cs="Arial"/>
                <w:sz w:val="20"/>
                <w:szCs w:val="20"/>
              </w:rPr>
            </w:pPr>
            <w:r w:rsidRPr="00B80897">
              <w:rPr>
                <w:rFonts w:ascii="Arial" w:eastAsia="Calibri" w:hAnsi="Arial" w:cs="Arial"/>
                <w:sz w:val="20"/>
                <w:szCs w:val="20"/>
              </w:rPr>
              <w:t>All removed by day 1</w:t>
            </w:r>
          </w:p>
          <w:p w:rsidR="00B80897" w:rsidRPr="00B80897" w:rsidRDefault="00B80897" w:rsidP="00B80897">
            <w:pPr>
              <w:spacing w:after="0" w:line="360" w:lineRule="auto"/>
              <w:ind w:left="340"/>
              <w:rPr>
                <w:rFonts w:ascii="Arial" w:eastAsia="Calibri" w:hAnsi="Arial" w:cs="Arial"/>
                <w:sz w:val="20"/>
                <w:szCs w:val="20"/>
              </w:rPr>
            </w:pPr>
            <w:r w:rsidRPr="00B80897">
              <w:rPr>
                <w:rFonts w:ascii="Arial" w:eastAsia="Calibri" w:hAnsi="Arial" w:cs="Arial"/>
                <w:sz w:val="20"/>
                <w:szCs w:val="20"/>
              </w:rPr>
              <w:t>All removed by EOIVT</w:t>
            </w:r>
          </w:p>
        </w:tc>
        <w:tc>
          <w:tcPr>
            <w:tcW w:w="1984" w:type="dxa"/>
            <w:tcBorders>
              <w:top w:val="nil"/>
              <w:left w:val="nil"/>
              <w:bottom w:val="nil"/>
              <w:right w:val="nil"/>
            </w:tcBorders>
          </w:tcPr>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r w:rsidRPr="00B80897">
              <w:rPr>
                <w:rFonts w:ascii="Arial" w:eastAsia="Times New Roman" w:hAnsi="Arial" w:cs="Arial"/>
                <w:color w:val="000000"/>
                <w:sz w:val="20"/>
                <w:szCs w:val="20"/>
              </w:rPr>
              <w:t>64/98 (65.3)</w:t>
            </w:r>
          </w:p>
          <w:p w:rsidR="00B80897" w:rsidRPr="00B80897" w:rsidRDefault="00B80897" w:rsidP="00B80897">
            <w:pPr>
              <w:spacing w:after="0" w:line="360" w:lineRule="auto"/>
              <w:jc w:val="center"/>
              <w:rPr>
                <w:rFonts w:ascii="Arial" w:eastAsia="Calibri" w:hAnsi="Arial" w:cs="Arial"/>
                <w:sz w:val="20"/>
                <w:szCs w:val="20"/>
              </w:rPr>
            </w:pPr>
            <w:r w:rsidRPr="00B80897">
              <w:rPr>
                <w:rFonts w:ascii="Arial" w:eastAsia="Times New Roman" w:hAnsi="Arial" w:cs="Arial"/>
                <w:color w:val="000000"/>
                <w:sz w:val="20"/>
                <w:szCs w:val="20"/>
              </w:rPr>
              <w:t>84/135 (62.2)</w:t>
            </w:r>
          </w:p>
        </w:tc>
        <w:tc>
          <w:tcPr>
            <w:tcW w:w="1701" w:type="dxa"/>
            <w:tcBorders>
              <w:top w:val="nil"/>
              <w:left w:val="nil"/>
              <w:bottom w:val="nil"/>
              <w:right w:val="nil"/>
            </w:tcBorders>
          </w:tcPr>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r w:rsidRPr="00B80897">
              <w:rPr>
                <w:rFonts w:ascii="Arial" w:eastAsia="Times New Roman" w:hAnsi="Arial" w:cs="Arial"/>
                <w:color w:val="000000"/>
                <w:sz w:val="20"/>
                <w:szCs w:val="20"/>
              </w:rPr>
              <w:t>58/82 (70.7)</w:t>
            </w:r>
          </w:p>
          <w:p w:rsidR="00B80897" w:rsidRPr="00B80897" w:rsidRDefault="00B80897" w:rsidP="00B80897">
            <w:pPr>
              <w:spacing w:after="0" w:line="360" w:lineRule="auto"/>
              <w:jc w:val="center"/>
              <w:rPr>
                <w:rFonts w:ascii="Arial" w:eastAsia="Times New Roman" w:hAnsi="Arial" w:cs="Arial"/>
                <w:color w:val="000000"/>
                <w:sz w:val="20"/>
                <w:szCs w:val="20"/>
              </w:rPr>
            </w:pPr>
            <w:r w:rsidRPr="00B80897">
              <w:rPr>
                <w:rFonts w:ascii="Arial" w:eastAsia="Times New Roman" w:hAnsi="Arial" w:cs="Arial"/>
                <w:color w:val="000000"/>
                <w:sz w:val="20"/>
                <w:szCs w:val="20"/>
              </w:rPr>
              <w:t>91/133 (68.4)</w:t>
            </w:r>
          </w:p>
        </w:tc>
        <w:tc>
          <w:tcPr>
            <w:tcW w:w="2835" w:type="dxa"/>
            <w:tcBorders>
              <w:top w:val="nil"/>
              <w:left w:val="nil"/>
              <w:bottom w:val="nil"/>
            </w:tcBorders>
          </w:tcPr>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r w:rsidRPr="00B80897">
              <w:rPr>
                <w:rFonts w:ascii="Arial" w:eastAsia="Times New Roman" w:hAnsi="Arial" w:cs="Arial"/>
                <w:color w:val="000000"/>
                <w:sz w:val="20"/>
                <w:szCs w:val="20"/>
              </w:rPr>
              <w:t>−5.4 (−20.3, 9.4)</w:t>
            </w:r>
          </w:p>
          <w:p w:rsidR="00B80897" w:rsidRPr="00B80897" w:rsidRDefault="00B80897" w:rsidP="00B80897">
            <w:pPr>
              <w:spacing w:after="0" w:line="360" w:lineRule="auto"/>
              <w:jc w:val="center"/>
              <w:rPr>
                <w:rFonts w:ascii="Arial" w:eastAsia="Times New Roman" w:hAnsi="Arial" w:cs="Arial"/>
                <w:color w:val="000000"/>
                <w:sz w:val="20"/>
                <w:szCs w:val="20"/>
              </w:rPr>
            </w:pPr>
            <w:r w:rsidRPr="00B80897">
              <w:rPr>
                <w:rFonts w:ascii="Arial" w:eastAsia="Times New Roman" w:hAnsi="Arial" w:cs="Arial"/>
                <w:color w:val="000000"/>
                <w:sz w:val="20"/>
                <w:szCs w:val="20"/>
              </w:rPr>
              <w:t>−6.2 (−18.4, 6.0)</w:t>
            </w:r>
          </w:p>
        </w:tc>
      </w:tr>
      <w:tr w:rsidR="00B80897" w:rsidRPr="00B80897" w:rsidTr="00C649A0">
        <w:trPr>
          <w:trHeight w:val="20"/>
        </w:trPr>
        <w:tc>
          <w:tcPr>
            <w:tcW w:w="2660" w:type="dxa"/>
            <w:tcBorders>
              <w:top w:val="nil"/>
              <w:bottom w:val="nil"/>
              <w:right w:val="nil"/>
            </w:tcBorders>
          </w:tcPr>
          <w:p w:rsidR="00B80897" w:rsidRPr="00B80897" w:rsidRDefault="00B80897" w:rsidP="00B80897">
            <w:pPr>
              <w:spacing w:after="0" w:line="360" w:lineRule="auto"/>
              <w:rPr>
                <w:rFonts w:ascii="Arial" w:eastAsia="Calibri" w:hAnsi="Arial" w:cs="Arial"/>
                <w:sz w:val="20"/>
                <w:szCs w:val="20"/>
              </w:rPr>
            </w:pPr>
            <w:r w:rsidRPr="00B80897">
              <w:rPr>
                <w:rFonts w:ascii="Arial" w:eastAsia="Calibri" w:hAnsi="Arial" w:cs="Arial"/>
                <w:sz w:val="20"/>
                <w:szCs w:val="20"/>
              </w:rPr>
              <w:t xml:space="preserve">Overall response at 2 weeks after EOT </w:t>
            </w:r>
          </w:p>
          <w:p w:rsidR="00B80897" w:rsidRPr="00B80897" w:rsidRDefault="00B80897" w:rsidP="00B80897">
            <w:pPr>
              <w:spacing w:after="0" w:line="360" w:lineRule="auto"/>
              <w:ind w:left="340"/>
              <w:rPr>
                <w:rFonts w:ascii="Arial" w:eastAsia="Calibri" w:hAnsi="Arial" w:cs="Arial"/>
                <w:sz w:val="20"/>
                <w:szCs w:val="20"/>
              </w:rPr>
            </w:pPr>
            <w:r w:rsidRPr="00B80897">
              <w:rPr>
                <w:rFonts w:ascii="Arial" w:eastAsia="Calibri" w:hAnsi="Arial" w:cs="Arial"/>
                <w:sz w:val="20"/>
                <w:szCs w:val="20"/>
              </w:rPr>
              <w:t>All removed by day 1</w:t>
            </w:r>
          </w:p>
          <w:p w:rsidR="00B80897" w:rsidRPr="00B80897" w:rsidRDefault="00B80897" w:rsidP="00B80897">
            <w:pPr>
              <w:spacing w:after="0" w:line="360" w:lineRule="auto"/>
              <w:ind w:left="340"/>
              <w:rPr>
                <w:rFonts w:ascii="Arial" w:eastAsia="Calibri" w:hAnsi="Arial" w:cs="Arial"/>
                <w:sz w:val="20"/>
                <w:szCs w:val="20"/>
              </w:rPr>
            </w:pPr>
            <w:r w:rsidRPr="00B80897">
              <w:rPr>
                <w:rFonts w:ascii="Arial" w:eastAsia="Calibri" w:hAnsi="Arial" w:cs="Arial"/>
                <w:sz w:val="20"/>
                <w:szCs w:val="20"/>
              </w:rPr>
              <w:t>All removed by EOIVT</w:t>
            </w:r>
          </w:p>
          <w:p w:rsidR="00B80897" w:rsidRPr="00B80897" w:rsidRDefault="00B80897" w:rsidP="00B80897">
            <w:pPr>
              <w:spacing w:before="100" w:beforeAutospacing="1" w:after="100" w:afterAutospacing="1" w:line="360" w:lineRule="auto"/>
              <w:rPr>
                <w:rFonts w:ascii="Arial" w:eastAsia="Calibri" w:hAnsi="Arial" w:cs="Arial"/>
                <w:sz w:val="20"/>
                <w:szCs w:val="20"/>
              </w:rPr>
            </w:pPr>
          </w:p>
        </w:tc>
        <w:tc>
          <w:tcPr>
            <w:tcW w:w="1984" w:type="dxa"/>
            <w:tcBorders>
              <w:top w:val="nil"/>
              <w:left w:val="nil"/>
              <w:bottom w:val="nil"/>
              <w:right w:val="nil"/>
            </w:tcBorders>
          </w:tcPr>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r w:rsidRPr="00B80897">
              <w:rPr>
                <w:rFonts w:ascii="Arial" w:eastAsia="Times New Roman" w:hAnsi="Arial" w:cs="Arial"/>
                <w:color w:val="000000"/>
                <w:sz w:val="20"/>
                <w:szCs w:val="20"/>
              </w:rPr>
              <w:t>55/98 (56.1)</w:t>
            </w:r>
          </w:p>
          <w:p w:rsidR="00B80897" w:rsidRPr="00B80897" w:rsidRDefault="00B80897" w:rsidP="00B80897">
            <w:pPr>
              <w:spacing w:after="0" w:line="240" w:lineRule="auto"/>
              <w:jc w:val="center"/>
              <w:rPr>
                <w:rFonts w:ascii="Arial" w:eastAsia="Calibri" w:hAnsi="Arial" w:cs="Arial"/>
                <w:sz w:val="20"/>
                <w:szCs w:val="20"/>
              </w:rPr>
            </w:pPr>
            <w:r w:rsidRPr="00B80897">
              <w:rPr>
                <w:rFonts w:ascii="Arial" w:eastAsia="Times New Roman" w:hAnsi="Arial" w:cs="Arial"/>
                <w:color w:val="000000"/>
                <w:sz w:val="20"/>
                <w:szCs w:val="20"/>
              </w:rPr>
              <w:t>75/135 (55.6)</w:t>
            </w:r>
          </w:p>
        </w:tc>
        <w:tc>
          <w:tcPr>
            <w:tcW w:w="1701" w:type="dxa"/>
            <w:tcBorders>
              <w:top w:val="nil"/>
              <w:left w:val="nil"/>
              <w:bottom w:val="nil"/>
              <w:right w:val="nil"/>
            </w:tcBorders>
          </w:tcPr>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r w:rsidRPr="00B80897">
              <w:rPr>
                <w:rFonts w:ascii="Arial" w:eastAsia="Times New Roman" w:hAnsi="Arial" w:cs="Arial"/>
                <w:color w:val="000000"/>
                <w:sz w:val="20"/>
                <w:szCs w:val="20"/>
              </w:rPr>
              <w:t>51/82 (62.2)</w:t>
            </w:r>
          </w:p>
          <w:p w:rsidR="00B80897" w:rsidRPr="00B80897" w:rsidRDefault="00B80897" w:rsidP="00B80897">
            <w:pPr>
              <w:spacing w:after="0" w:line="240" w:lineRule="auto"/>
              <w:jc w:val="center"/>
              <w:rPr>
                <w:rFonts w:ascii="Arial" w:eastAsia="Calibri" w:hAnsi="Arial" w:cs="Arial"/>
                <w:sz w:val="20"/>
                <w:szCs w:val="20"/>
              </w:rPr>
            </w:pPr>
            <w:r w:rsidRPr="00B80897">
              <w:rPr>
                <w:rFonts w:ascii="Arial" w:eastAsia="Times New Roman" w:hAnsi="Arial" w:cs="Arial"/>
                <w:color w:val="000000"/>
                <w:sz w:val="20"/>
                <w:szCs w:val="20"/>
              </w:rPr>
              <w:t>76/133 (57.1)</w:t>
            </w:r>
          </w:p>
        </w:tc>
        <w:tc>
          <w:tcPr>
            <w:tcW w:w="2835" w:type="dxa"/>
            <w:tcBorders>
              <w:top w:val="nil"/>
              <w:left w:val="nil"/>
              <w:bottom w:val="nil"/>
            </w:tcBorders>
          </w:tcPr>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p>
          <w:p w:rsidR="00B80897" w:rsidRPr="00B80897" w:rsidRDefault="00B80897" w:rsidP="00B80897">
            <w:pPr>
              <w:spacing w:after="0" w:line="360" w:lineRule="auto"/>
              <w:jc w:val="center"/>
              <w:rPr>
                <w:rFonts w:ascii="Arial" w:eastAsia="Times New Roman" w:hAnsi="Arial" w:cs="Arial"/>
                <w:color w:val="000000"/>
                <w:sz w:val="20"/>
                <w:szCs w:val="20"/>
              </w:rPr>
            </w:pPr>
            <w:r w:rsidRPr="00B80897">
              <w:rPr>
                <w:rFonts w:ascii="Arial" w:eastAsia="Times New Roman" w:hAnsi="Arial" w:cs="Arial"/>
                <w:color w:val="000000"/>
                <w:sz w:val="20"/>
                <w:szCs w:val="20"/>
              </w:rPr>
              <w:t>−6.1 (−21.7, 9.5)</w:t>
            </w:r>
          </w:p>
          <w:p w:rsidR="00B80897" w:rsidRPr="00B80897" w:rsidRDefault="00B80897" w:rsidP="00B80897">
            <w:pPr>
              <w:spacing w:after="0" w:line="240" w:lineRule="auto"/>
              <w:jc w:val="center"/>
              <w:rPr>
                <w:rFonts w:ascii="Arial" w:eastAsia="Calibri" w:hAnsi="Arial" w:cs="Arial"/>
                <w:sz w:val="20"/>
                <w:szCs w:val="20"/>
              </w:rPr>
            </w:pPr>
            <w:r w:rsidRPr="00B80897">
              <w:rPr>
                <w:rFonts w:ascii="Arial" w:eastAsia="Times New Roman" w:hAnsi="Arial" w:cs="Arial"/>
                <w:color w:val="000000"/>
                <w:sz w:val="20"/>
                <w:szCs w:val="20"/>
              </w:rPr>
              <w:t>−1.6 (−14.3, 11.1)</w:t>
            </w:r>
          </w:p>
        </w:tc>
      </w:tr>
    </w:tbl>
    <w:p w:rsidR="00B80897" w:rsidRPr="00B80897" w:rsidRDefault="00B80897" w:rsidP="00B80897">
      <w:pPr>
        <w:spacing w:line="360" w:lineRule="auto"/>
        <w:rPr>
          <w:rFonts w:ascii="Arial" w:eastAsia="Calibri" w:hAnsi="Arial" w:cs="Arial"/>
          <w:b/>
          <w:sz w:val="24"/>
          <w:szCs w:val="24"/>
        </w:rPr>
      </w:pPr>
    </w:p>
    <w:p w:rsidR="00B80897" w:rsidRPr="00B80897" w:rsidRDefault="00B80897" w:rsidP="00B80897">
      <w:pPr>
        <w:spacing w:line="276" w:lineRule="auto"/>
        <w:rPr>
          <w:rFonts w:ascii="Arial" w:eastAsia="Calibri" w:hAnsi="Arial" w:cs="Arial"/>
          <w:b/>
          <w:sz w:val="24"/>
          <w:szCs w:val="24"/>
        </w:rPr>
      </w:pPr>
      <w:r w:rsidRPr="00B80897">
        <w:rPr>
          <w:rFonts w:ascii="Arial" w:eastAsia="Calibri" w:hAnsi="Arial" w:cs="Arial"/>
          <w:b/>
          <w:sz w:val="24"/>
          <w:szCs w:val="24"/>
        </w:rPr>
        <w:br w:type="page"/>
      </w:r>
    </w:p>
    <w:p w:rsidR="00B80897" w:rsidRPr="00B80897" w:rsidRDefault="00B80897" w:rsidP="00B80897">
      <w:pPr>
        <w:spacing w:after="120" w:line="360" w:lineRule="auto"/>
        <w:jc w:val="both"/>
        <w:rPr>
          <w:rFonts w:ascii="Arial" w:eastAsia="Calibri" w:hAnsi="Arial" w:cs="Arial"/>
          <w:sz w:val="18"/>
          <w:lang w:val="en-GB"/>
        </w:rPr>
      </w:pPr>
      <w:proofErr w:type="gramStart"/>
      <w:r w:rsidRPr="00B80897">
        <w:rPr>
          <w:rFonts w:ascii="Arial" w:eastAsia="Calibri" w:hAnsi="Arial" w:cs="Arial"/>
          <w:b/>
          <w:szCs w:val="24"/>
        </w:rPr>
        <w:lastRenderedPageBreak/>
        <w:t>TABLE S6.</w:t>
      </w:r>
      <w:proofErr w:type="gramEnd"/>
      <w:r w:rsidRPr="00B80897">
        <w:rPr>
          <w:rFonts w:ascii="Arial" w:eastAsia="Calibri" w:hAnsi="Arial" w:cs="Arial"/>
          <w:szCs w:val="24"/>
        </w:rPr>
        <w:t xml:space="preserve"> </w:t>
      </w:r>
      <w:r w:rsidRPr="00B80897">
        <w:rPr>
          <w:rFonts w:ascii="Arial" w:eastAsia="Calibri" w:hAnsi="Arial" w:cs="Arial"/>
          <w:bCs/>
          <w:szCs w:val="24"/>
        </w:rPr>
        <w:t>Treatment-Emergent Adverse Events (</w:t>
      </w:r>
      <w:r w:rsidRPr="00B80897">
        <w:rPr>
          <w:rFonts w:ascii="Arial" w:eastAsia="Calibri" w:hAnsi="Arial" w:cs="Arial"/>
          <w:sz w:val="24"/>
          <w:szCs w:val="24"/>
        </w:rPr>
        <w:t>MedDRA V12.1</w:t>
      </w:r>
      <w:r w:rsidRPr="00B80897">
        <w:rPr>
          <w:rFonts w:ascii="Arial" w:eastAsia="Calibri" w:hAnsi="Arial" w:cs="Arial"/>
          <w:bCs/>
          <w:szCs w:val="24"/>
        </w:rPr>
        <w:t>) by System Organ Class</w:t>
      </w:r>
      <w:r w:rsidRPr="00B80897">
        <w:rPr>
          <w:rFonts w:ascii="Arial" w:eastAsia="Calibri" w:hAnsi="Arial" w:cs="Arial"/>
          <w:bCs/>
          <w:szCs w:val="24"/>
          <w:vertAlign w:val="superscript"/>
        </w:rPr>
        <w:t>a</w:t>
      </w:r>
    </w:p>
    <w:tbl>
      <w:tblPr>
        <w:tblW w:w="8193" w:type="dxa"/>
        <w:tblBorders>
          <w:top w:val="single" w:sz="4" w:space="0" w:color="auto"/>
          <w:left w:val="single" w:sz="4" w:space="0" w:color="auto"/>
          <w:bottom w:val="single" w:sz="4" w:space="0" w:color="auto"/>
          <w:right w:val="single" w:sz="4" w:space="0" w:color="auto"/>
        </w:tblBorders>
        <w:tblLook w:val="0600" w:firstRow="0" w:lastRow="0" w:firstColumn="0" w:lastColumn="0" w:noHBand="1" w:noVBand="1"/>
      </w:tblPr>
      <w:tblGrid>
        <w:gridCol w:w="4791"/>
        <w:gridCol w:w="1731"/>
        <w:gridCol w:w="1671"/>
      </w:tblGrid>
      <w:tr w:rsidR="00B80897" w:rsidRPr="00B80897" w:rsidTr="00C649A0">
        <w:trPr>
          <w:trHeight w:val="688"/>
        </w:trPr>
        <w:tc>
          <w:tcPr>
            <w:tcW w:w="4791" w:type="dxa"/>
            <w:tcBorders>
              <w:top w:val="single" w:sz="4" w:space="0" w:color="auto"/>
              <w:left w:val="nil"/>
              <w:bottom w:val="single" w:sz="4" w:space="0" w:color="auto"/>
            </w:tcBorders>
            <w:vAlign w:val="center"/>
            <w:hideMark/>
          </w:tcPr>
          <w:p w:rsidR="00B80897" w:rsidRPr="00B80897" w:rsidRDefault="00B80897" w:rsidP="00B80897">
            <w:pPr>
              <w:spacing w:after="0" w:line="360" w:lineRule="auto"/>
              <w:rPr>
                <w:rFonts w:ascii="Arial" w:eastAsia="Calibri" w:hAnsi="Arial" w:cs="Arial"/>
                <w:sz w:val="20"/>
                <w:szCs w:val="20"/>
                <w:highlight w:val="yellow"/>
                <w:lang w:val="en-GB"/>
              </w:rPr>
            </w:pPr>
            <w:r w:rsidRPr="00B80897">
              <w:rPr>
                <w:rFonts w:ascii="Arial" w:eastAsia="Calibri" w:hAnsi="Arial" w:cs="Arial"/>
                <w:b/>
                <w:sz w:val="20"/>
                <w:szCs w:val="20"/>
                <w:lang w:val="en-GB"/>
              </w:rPr>
              <w:t>System Organ Class</w:t>
            </w:r>
          </w:p>
        </w:tc>
        <w:tc>
          <w:tcPr>
            <w:tcW w:w="1731" w:type="dxa"/>
            <w:tcBorders>
              <w:top w:val="single" w:sz="4" w:space="0" w:color="auto"/>
              <w:bottom w:val="single" w:sz="4" w:space="0" w:color="auto"/>
            </w:tcBorders>
            <w:vAlign w:val="center"/>
            <w:hideMark/>
          </w:tcPr>
          <w:p w:rsidR="00B80897" w:rsidRPr="00B80897" w:rsidRDefault="00B80897" w:rsidP="00B80897">
            <w:pPr>
              <w:spacing w:after="0" w:line="360" w:lineRule="auto"/>
              <w:jc w:val="center"/>
              <w:rPr>
                <w:rFonts w:ascii="Arial" w:eastAsia="Calibri" w:hAnsi="Arial" w:cs="Arial"/>
                <w:b/>
                <w:sz w:val="20"/>
                <w:szCs w:val="20"/>
                <w:highlight w:val="yellow"/>
                <w:lang w:val="en-GB"/>
              </w:rPr>
            </w:pPr>
            <w:r w:rsidRPr="00B80897">
              <w:rPr>
                <w:rFonts w:ascii="Arial" w:eastAsia="Calibri" w:hAnsi="Arial" w:cs="Arial"/>
                <w:b/>
                <w:sz w:val="20"/>
                <w:szCs w:val="20"/>
              </w:rPr>
              <w:t>Isavuconazole</w:t>
            </w:r>
            <w:r w:rsidRPr="00B80897">
              <w:rPr>
                <w:rFonts w:ascii="Arial" w:eastAsia="Calibri" w:hAnsi="Arial" w:cs="Arial"/>
                <w:b/>
                <w:sz w:val="20"/>
                <w:szCs w:val="20"/>
                <w:vertAlign w:val="superscript"/>
              </w:rPr>
              <w:t>b</w:t>
            </w:r>
            <w:r w:rsidRPr="00B80897">
              <w:rPr>
                <w:rFonts w:ascii="Arial" w:eastAsia="Calibri" w:hAnsi="Arial" w:cs="Arial"/>
                <w:b/>
                <w:sz w:val="20"/>
                <w:szCs w:val="20"/>
              </w:rPr>
              <w:br/>
              <w:t>N = 220</w:t>
            </w:r>
          </w:p>
        </w:tc>
        <w:tc>
          <w:tcPr>
            <w:tcW w:w="1671" w:type="dxa"/>
            <w:tcBorders>
              <w:top w:val="single" w:sz="4" w:space="0" w:color="auto"/>
              <w:bottom w:val="single" w:sz="4" w:space="0" w:color="auto"/>
              <w:right w:val="nil"/>
            </w:tcBorders>
            <w:vAlign w:val="center"/>
            <w:hideMark/>
          </w:tcPr>
          <w:p w:rsidR="00B80897" w:rsidRPr="00B80897" w:rsidRDefault="00B80897" w:rsidP="00B80897">
            <w:pPr>
              <w:spacing w:after="0" w:line="360" w:lineRule="auto"/>
              <w:jc w:val="center"/>
              <w:rPr>
                <w:rFonts w:ascii="Arial" w:eastAsia="Calibri" w:hAnsi="Arial" w:cs="Arial"/>
                <w:b/>
                <w:sz w:val="20"/>
                <w:szCs w:val="20"/>
              </w:rPr>
            </w:pPr>
            <w:r w:rsidRPr="00B80897">
              <w:rPr>
                <w:rFonts w:ascii="Arial" w:eastAsia="Calibri" w:hAnsi="Arial" w:cs="Arial"/>
                <w:b/>
                <w:sz w:val="20"/>
                <w:szCs w:val="20"/>
              </w:rPr>
              <w:t>Caspofungin</w:t>
            </w:r>
          </w:p>
          <w:p w:rsidR="00B80897" w:rsidRPr="00B80897" w:rsidRDefault="00B80897" w:rsidP="00B80897">
            <w:pPr>
              <w:spacing w:after="0" w:line="360" w:lineRule="auto"/>
              <w:jc w:val="center"/>
              <w:rPr>
                <w:rFonts w:ascii="Arial" w:eastAsia="Calibri" w:hAnsi="Arial" w:cs="Arial"/>
                <w:b/>
                <w:sz w:val="20"/>
                <w:szCs w:val="20"/>
                <w:highlight w:val="yellow"/>
                <w:lang w:val="en-GB"/>
              </w:rPr>
            </w:pPr>
            <w:r w:rsidRPr="00B80897">
              <w:rPr>
                <w:rFonts w:ascii="Arial" w:eastAsia="Calibri" w:hAnsi="Arial" w:cs="Arial"/>
                <w:b/>
                <w:sz w:val="20"/>
                <w:szCs w:val="20"/>
              </w:rPr>
              <w:t>N = 220</w:t>
            </w:r>
          </w:p>
        </w:tc>
      </w:tr>
      <w:tr w:rsidR="00B80897" w:rsidRPr="00B80897" w:rsidTr="00C649A0">
        <w:trPr>
          <w:trHeight w:val="464"/>
        </w:trPr>
        <w:tc>
          <w:tcPr>
            <w:tcW w:w="4791" w:type="dxa"/>
            <w:tcBorders>
              <w:top w:val="single" w:sz="4" w:space="0" w:color="auto"/>
              <w:left w:val="nil"/>
            </w:tcBorders>
            <w:vAlign w:val="center"/>
            <w:hideMark/>
          </w:tcPr>
          <w:p w:rsidR="00B80897" w:rsidRPr="00B80897" w:rsidRDefault="00B80897" w:rsidP="00B80897">
            <w:pPr>
              <w:spacing w:after="0" w:line="360" w:lineRule="auto"/>
              <w:rPr>
                <w:rFonts w:ascii="Arial" w:eastAsia="Calibri" w:hAnsi="Arial" w:cs="Arial"/>
                <w:sz w:val="20"/>
                <w:szCs w:val="20"/>
                <w:highlight w:val="yellow"/>
                <w:lang w:val="en-GB"/>
              </w:rPr>
            </w:pPr>
            <w:r w:rsidRPr="00B80897">
              <w:rPr>
                <w:rFonts w:ascii="Arial" w:eastAsia="Calibri" w:hAnsi="Arial" w:cs="Arial"/>
                <w:sz w:val="20"/>
                <w:szCs w:val="20"/>
              </w:rPr>
              <w:t>Overall, n (%)</w:t>
            </w:r>
          </w:p>
        </w:tc>
        <w:tc>
          <w:tcPr>
            <w:tcW w:w="1731" w:type="dxa"/>
            <w:tcBorders>
              <w:top w:val="single" w:sz="4" w:space="0" w:color="auto"/>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209 (95.0)</w:t>
            </w:r>
          </w:p>
        </w:tc>
        <w:tc>
          <w:tcPr>
            <w:tcW w:w="1671" w:type="dxa"/>
            <w:tcBorders>
              <w:top w:val="single" w:sz="4" w:space="0" w:color="auto"/>
              <w:right w:val="nil"/>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208 (94.5)</w:t>
            </w:r>
          </w:p>
        </w:tc>
      </w:tr>
      <w:tr w:rsidR="00B80897" w:rsidRPr="00B80897" w:rsidTr="00C649A0">
        <w:trPr>
          <w:trHeight w:val="387"/>
        </w:trPr>
        <w:tc>
          <w:tcPr>
            <w:tcW w:w="4791" w:type="dxa"/>
            <w:tcBorders>
              <w:left w:val="nil"/>
            </w:tcBorders>
            <w:vAlign w:val="center"/>
            <w:hideMark/>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Infections and infestations</w:t>
            </w:r>
          </w:p>
        </w:tc>
        <w:tc>
          <w:tcPr>
            <w:tcW w:w="1731" w:type="dxa"/>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133 (60.5)</w:t>
            </w:r>
          </w:p>
        </w:tc>
        <w:tc>
          <w:tcPr>
            <w:tcW w:w="1671" w:type="dxa"/>
            <w:tcBorders>
              <w:right w:val="nil"/>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123 (55.9)</w:t>
            </w:r>
          </w:p>
        </w:tc>
      </w:tr>
      <w:tr w:rsidR="00B80897" w:rsidRPr="00B80897" w:rsidTr="00C649A0">
        <w:trPr>
          <w:trHeight w:val="425"/>
        </w:trPr>
        <w:tc>
          <w:tcPr>
            <w:tcW w:w="4791" w:type="dxa"/>
            <w:tcBorders>
              <w:left w:val="nil"/>
            </w:tcBorders>
            <w:vAlign w:val="center"/>
            <w:hideMark/>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Gastrointestinal disorders</w:t>
            </w:r>
          </w:p>
        </w:tc>
        <w:tc>
          <w:tcPr>
            <w:tcW w:w="1731" w:type="dxa"/>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109 (49.5)</w:t>
            </w:r>
          </w:p>
        </w:tc>
        <w:tc>
          <w:tcPr>
            <w:tcW w:w="1671" w:type="dxa"/>
            <w:tcBorders>
              <w:right w:val="nil"/>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112 (50.9)</w:t>
            </w:r>
          </w:p>
        </w:tc>
      </w:tr>
      <w:tr w:rsidR="00B80897" w:rsidRPr="00B80897" w:rsidTr="00C649A0">
        <w:trPr>
          <w:trHeight w:val="387"/>
        </w:trPr>
        <w:tc>
          <w:tcPr>
            <w:tcW w:w="4791" w:type="dxa"/>
            <w:tcBorders>
              <w:left w:val="nil"/>
            </w:tcBorders>
            <w:vAlign w:val="center"/>
            <w:hideMark/>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General disorders &amp; administrative site conditions</w:t>
            </w:r>
          </w:p>
        </w:tc>
        <w:tc>
          <w:tcPr>
            <w:tcW w:w="1731" w:type="dxa"/>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102 (46.4)</w:t>
            </w:r>
          </w:p>
        </w:tc>
        <w:tc>
          <w:tcPr>
            <w:tcW w:w="1671" w:type="dxa"/>
            <w:tcBorders>
              <w:right w:val="nil"/>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88 (40.0)</w:t>
            </w:r>
          </w:p>
        </w:tc>
      </w:tr>
      <w:tr w:rsidR="00B80897" w:rsidRPr="00B80897" w:rsidTr="00C649A0">
        <w:trPr>
          <w:trHeight w:val="387"/>
        </w:trPr>
        <w:tc>
          <w:tcPr>
            <w:tcW w:w="4791" w:type="dxa"/>
            <w:tcBorders>
              <w:left w:val="nil"/>
            </w:tcBorders>
            <w:vAlign w:val="center"/>
            <w:hideMark/>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Metabolism and nutrition disorders</w:t>
            </w:r>
          </w:p>
        </w:tc>
        <w:tc>
          <w:tcPr>
            <w:tcW w:w="1731" w:type="dxa"/>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91 (41.4)</w:t>
            </w:r>
          </w:p>
        </w:tc>
        <w:tc>
          <w:tcPr>
            <w:tcW w:w="1671" w:type="dxa"/>
            <w:tcBorders>
              <w:right w:val="nil"/>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105 (47.7)</w:t>
            </w:r>
          </w:p>
        </w:tc>
      </w:tr>
      <w:tr w:rsidR="00B80897" w:rsidRPr="00B80897" w:rsidTr="00C649A0">
        <w:trPr>
          <w:trHeight w:val="387"/>
        </w:trPr>
        <w:tc>
          <w:tcPr>
            <w:tcW w:w="4791" w:type="dxa"/>
            <w:tcBorders>
              <w:left w:val="nil"/>
            </w:tcBorders>
            <w:vAlign w:val="center"/>
            <w:hideMark/>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Respiratory, thoracic &amp; mediastinal disorders</w:t>
            </w:r>
          </w:p>
        </w:tc>
        <w:tc>
          <w:tcPr>
            <w:tcW w:w="1731" w:type="dxa"/>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85 (38.6)</w:t>
            </w:r>
          </w:p>
        </w:tc>
        <w:tc>
          <w:tcPr>
            <w:tcW w:w="1671" w:type="dxa"/>
            <w:tcBorders>
              <w:right w:val="nil"/>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72 (32.7)</w:t>
            </w:r>
          </w:p>
        </w:tc>
      </w:tr>
      <w:tr w:rsidR="00B80897" w:rsidRPr="00B80897" w:rsidTr="00C649A0">
        <w:trPr>
          <w:trHeight w:val="387"/>
        </w:trPr>
        <w:tc>
          <w:tcPr>
            <w:tcW w:w="4791" w:type="dxa"/>
            <w:tcBorders>
              <w:left w:val="nil"/>
            </w:tcBorders>
            <w:vAlign w:val="center"/>
            <w:hideMark/>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Vascular disorders </w:t>
            </w:r>
          </w:p>
        </w:tc>
        <w:tc>
          <w:tcPr>
            <w:tcW w:w="1731" w:type="dxa"/>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71 (32.3)</w:t>
            </w:r>
          </w:p>
        </w:tc>
        <w:tc>
          <w:tcPr>
            <w:tcW w:w="1671" w:type="dxa"/>
            <w:tcBorders>
              <w:right w:val="nil"/>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63 (28.6)</w:t>
            </w:r>
          </w:p>
        </w:tc>
      </w:tr>
      <w:tr w:rsidR="00B80897" w:rsidRPr="00B80897" w:rsidTr="00C649A0">
        <w:trPr>
          <w:trHeight w:val="245"/>
        </w:trPr>
        <w:tc>
          <w:tcPr>
            <w:tcW w:w="4791" w:type="dxa"/>
            <w:tcBorders>
              <w:left w:val="nil"/>
            </w:tcBorders>
            <w:vAlign w:val="center"/>
            <w:hideMark/>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Investigations (abnormal laboratory tests)</w:t>
            </w:r>
          </w:p>
        </w:tc>
        <w:tc>
          <w:tcPr>
            <w:tcW w:w="1731" w:type="dxa"/>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59 (26.8)</w:t>
            </w:r>
          </w:p>
        </w:tc>
        <w:tc>
          <w:tcPr>
            <w:tcW w:w="1671" w:type="dxa"/>
            <w:tcBorders>
              <w:right w:val="nil"/>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71 (32.3)</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Skin and subcutaneous tissue disorders</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48 (21.8)</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41 (18.6)</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Cardiac disorders </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47 (21.4)</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38 (17.3)</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Nervous system disorders</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43 (19.5)</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44 (20.0)</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Renal and urinary disorders </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45 (20.5)</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36 (16.4)</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Psychiatric disorders</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37 (16.8)</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46 (20.9)</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Blood and lymphatic system disorders</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34 (15.5)</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48 (21.8)</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Musculoskeletal and connective tissue disorders</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34 (15.5)</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30 (13.6)</w:t>
            </w:r>
          </w:p>
        </w:tc>
      </w:tr>
      <w:tr w:rsidR="00B80897" w:rsidRPr="00B80897" w:rsidTr="00C649A0">
        <w:trPr>
          <w:trHeight w:val="387"/>
        </w:trPr>
        <w:tc>
          <w:tcPr>
            <w:tcW w:w="4791" w:type="dxa"/>
            <w:tcBorders>
              <w:left w:val="nil"/>
            </w:tcBorders>
            <w:vAlign w:val="center"/>
            <w:hideMark/>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Eye disorders</w:t>
            </w:r>
          </w:p>
        </w:tc>
        <w:tc>
          <w:tcPr>
            <w:tcW w:w="1731" w:type="dxa"/>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23 (10.5)</w:t>
            </w:r>
          </w:p>
        </w:tc>
        <w:tc>
          <w:tcPr>
            <w:tcW w:w="1671" w:type="dxa"/>
            <w:tcBorders>
              <w:right w:val="nil"/>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24 (10.9)</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Injury, poisoning and procedural complications </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21 (9.5)</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27 (12.3)</w:t>
            </w:r>
          </w:p>
        </w:tc>
      </w:tr>
      <w:tr w:rsidR="00B80897" w:rsidRPr="00B80897" w:rsidTr="00C649A0">
        <w:trPr>
          <w:trHeight w:val="387"/>
        </w:trPr>
        <w:tc>
          <w:tcPr>
            <w:tcW w:w="4791" w:type="dxa"/>
            <w:tcBorders>
              <w:left w:val="nil"/>
            </w:tcBorders>
            <w:vAlign w:val="center"/>
            <w:hideMark/>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Hepatobiliary disorders</w:t>
            </w:r>
          </w:p>
        </w:tc>
        <w:tc>
          <w:tcPr>
            <w:tcW w:w="1731" w:type="dxa"/>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19 (8.6)</w:t>
            </w:r>
          </w:p>
        </w:tc>
        <w:tc>
          <w:tcPr>
            <w:tcW w:w="1671" w:type="dxa"/>
            <w:tcBorders>
              <w:right w:val="nil"/>
            </w:tcBorders>
            <w:vAlign w:val="center"/>
            <w:hideMark/>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18 (8.2)</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Neoplasms benign, malignant and unspecified </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9 (4.1)</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12 (5.5)</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Ear and labyrinth disorders </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7 (3.2)</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5 (2.3)</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Endocrine disorders </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7 (3.2)</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5 (2.3)</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Immune system disorders </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4 (1.8)</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2 (0.9)</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Reproductive system and breast disorders </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3 (1.4)</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5 (2.3)</w:t>
            </w:r>
          </w:p>
        </w:tc>
      </w:tr>
      <w:tr w:rsidR="00B80897" w:rsidRPr="00B80897" w:rsidTr="00C649A0">
        <w:trPr>
          <w:trHeight w:val="387"/>
        </w:trPr>
        <w:tc>
          <w:tcPr>
            <w:tcW w:w="4791" w:type="dxa"/>
            <w:tcBorders>
              <w:left w:val="nil"/>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Congenital, familial and genetic disorders </w:t>
            </w:r>
          </w:p>
        </w:tc>
        <w:tc>
          <w:tcPr>
            <w:tcW w:w="1731" w:type="dxa"/>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 (0.5)</w:t>
            </w:r>
          </w:p>
        </w:tc>
        <w:tc>
          <w:tcPr>
            <w:tcW w:w="1671" w:type="dxa"/>
            <w:tcBorders>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0</w:t>
            </w:r>
          </w:p>
        </w:tc>
      </w:tr>
      <w:tr w:rsidR="00B80897" w:rsidRPr="00B80897" w:rsidTr="00C649A0">
        <w:trPr>
          <w:trHeight w:val="387"/>
        </w:trPr>
        <w:tc>
          <w:tcPr>
            <w:tcW w:w="4791" w:type="dxa"/>
            <w:tcBorders>
              <w:left w:val="nil"/>
              <w:bottom w:val="single" w:sz="4" w:space="0" w:color="auto"/>
            </w:tcBorders>
            <w:vAlign w:val="center"/>
          </w:tcPr>
          <w:p w:rsidR="00B80897" w:rsidRPr="00B80897" w:rsidRDefault="00B80897" w:rsidP="00B80897">
            <w:pPr>
              <w:spacing w:after="0" w:line="360" w:lineRule="auto"/>
              <w:ind w:left="142"/>
              <w:rPr>
                <w:rFonts w:ascii="Arial" w:eastAsia="Calibri" w:hAnsi="Arial" w:cs="Arial"/>
                <w:sz w:val="20"/>
                <w:szCs w:val="20"/>
                <w:highlight w:val="yellow"/>
                <w:lang w:val="en-GB"/>
              </w:rPr>
            </w:pPr>
            <w:r w:rsidRPr="00B80897">
              <w:rPr>
                <w:rFonts w:ascii="Arial" w:eastAsia="Calibri" w:hAnsi="Arial" w:cs="Arial"/>
                <w:sz w:val="20"/>
                <w:szCs w:val="20"/>
              </w:rPr>
              <w:t xml:space="preserve">Surgical and medical procedures </w:t>
            </w:r>
          </w:p>
        </w:tc>
        <w:tc>
          <w:tcPr>
            <w:tcW w:w="1731" w:type="dxa"/>
            <w:tcBorders>
              <w:bottom w:val="single" w:sz="4" w:space="0" w:color="auto"/>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 (0.5)</w:t>
            </w:r>
          </w:p>
        </w:tc>
        <w:tc>
          <w:tcPr>
            <w:tcW w:w="1671" w:type="dxa"/>
            <w:tcBorders>
              <w:bottom w:val="single" w:sz="4" w:space="0" w:color="auto"/>
              <w:right w:val="nil"/>
            </w:tcBorders>
            <w:vAlign w:val="center"/>
          </w:tcPr>
          <w:p w:rsidR="00B80897" w:rsidRPr="00B80897" w:rsidRDefault="00B80897" w:rsidP="00B80897">
            <w:pPr>
              <w:spacing w:after="0" w:line="360" w:lineRule="auto"/>
              <w:jc w:val="center"/>
              <w:rPr>
                <w:rFonts w:ascii="Arial" w:eastAsia="Calibri" w:hAnsi="Arial" w:cs="Arial"/>
                <w:sz w:val="20"/>
                <w:szCs w:val="20"/>
                <w:highlight w:val="yellow"/>
                <w:lang w:val="en-GB"/>
              </w:rPr>
            </w:pPr>
            <w:r w:rsidRPr="00B80897">
              <w:rPr>
                <w:rFonts w:ascii="Arial" w:eastAsia="Calibri" w:hAnsi="Arial" w:cs="Arial"/>
                <w:sz w:val="20"/>
                <w:szCs w:val="20"/>
              </w:rPr>
              <w:t>1 (0.5)</w:t>
            </w:r>
          </w:p>
        </w:tc>
      </w:tr>
    </w:tbl>
    <w:p w:rsidR="00B80897" w:rsidRPr="00B80897" w:rsidRDefault="00B80897" w:rsidP="00B80897">
      <w:pPr>
        <w:spacing w:after="120" w:line="360" w:lineRule="auto"/>
        <w:rPr>
          <w:rFonts w:ascii="Arial" w:eastAsia="Calibri" w:hAnsi="Arial" w:cs="Arial"/>
          <w:sz w:val="20"/>
          <w:szCs w:val="24"/>
        </w:rPr>
      </w:pPr>
      <w:proofErr w:type="gramStart"/>
      <w:r w:rsidRPr="00B80897">
        <w:rPr>
          <w:rFonts w:ascii="Arial" w:eastAsia="Calibri" w:hAnsi="Arial" w:cs="Arial"/>
          <w:sz w:val="20"/>
          <w:szCs w:val="24"/>
          <w:vertAlign w:val="superscript"/>
        </w:rPr>
        <w:t>a</w:t>
      </w:r>
      <w:r w:rsidRPr="00B80897">
        <w:rPr>
          <w:rFonts w:ascii="Arial" w:eastAsia="Calibri" w:hAnsi="Arial" w:cs="Arial"/>
          <w:sz w:val="20"/>
          <w:szCs w:val="24"/>
        </w:rPr>
        <w:t>No</w:t>
      </w:r>
      <w:proofErr w:type="gramEnd"/>
      <w:r w:rsidRPr="00B80897">
        <w:rPr>
          <w:rFonts w:ascii="Arial" w:eastAsia="Calibri" w:hAnsi="Arial" w:cs="Arial"/>
          <w:sz w:val="20"/>
          <w:szCs w:val="24"/>
        </w:rPr>
        <w:t xml:space="preserve"> statistical differences were observed between treatment arms (p=&gt;0.05)</w:t>
      </w:r>
    </w:p>
    <w:p w:rsidR="00B80897" w:rsidRPr="00B80897" w:rsidRDefault="00B80897" w:rsidP="00B80897">
      <w:pPr>
        <w:spacing w:after="120" w:line="360" w:lineRule="auto"/>
        <w:rPr>
          <w:rFonts w:ascii="Arial" w:eastAsia="Calibri" w:hAnsi="Arial" w:cs="Arial"/>
          <w:sz w:val="20"/>
          <w:szCs w:val="24"/>
        </w:rPr>
      </w:pPr>
      <w:proofErr w:type="gramStart"/>
      <w:r w:rsidRPr="00B80897">
        <w:rPr>
          <w:rFonts w:ascii="Arial" w:eastAsia="Calibri" w:hAnsi="Arial" w:cs="Arial"/>
          <w:sz w:val="20"/>
          <w:szCs w:val="24"/>
          <w:vertAlign w:val="superscript"/>
        </w:rPr>
        <w:t>b</w:t>
      </w:r>
      <w:r w:rsidRPr="00B80897">
        <w:rPr>
          <w:rFonts w:ascii="Arial" w:eastAsia="Calibri" w:hAnsi="Arial" w:cs="Arial"/>
          <w:sz w:val="20"/>
          <w:szCs w:val="24"/>
        </w:rPr>
        <w:t>One</w:t>
      </w:r>
      <w:proofErr w:type="gramEnd"/>
      <w:r w:rsidRPr="00B80897">
        <w:rPr>
          <w:rFonts w:ascii="Arial" w:eastAsia="Calibri" w:hAnsi="Arial" w:cs="Arial"/>
          <w:sz w:val="20"/>
          <w:szCs w:val="24"/>
        </w:rPr>
        <w:t xml:space="preserve"> patient was randomized to the isavuconazole group, but received caspofungin treatment on Day 1 and then was switched to isavuconazole treatment; this patient qualified for inclusion in the safety population for caspofungin</w:t>
      </w:r>
    </w:p>
    <w:p w:rsidR="00B80897" w:rsidRPr="00B80897" w:rsidRDefault="00B80897" w:rsidP="00B80897">
      <w:pPr>
        <w:spacing w:after="0"/>
        <w:rPr>
          <w:rFonts w:ascii="Arial" w:eastAsia="Calibri" w:hAnsi="Arial" w:cs="Arial"/>
          <w:b/>
          <w:szCs w:val="24"/>
        </w:rPr>
      </w:pPr>
      <w:r w:rsidRPr="00B80897">
        <w:rPr>
          <w:rFonts w:ascii="Arial" w:eastAsia="Calibri" w:hAnsi="Arial" w:cs="Arial"/>
          <w:sz w:val="20"/>
          <w:szCs w:val="24"/>
        </w:rPr>
        <w:t>Abbreviation: MedDRA v.12.1, Medical Dictionary for Regulatory Activities, version 12.1.</w:t>
      </w:r>
    </w:p>
    <w:p w:rsidR="00B80897" w:rsidRPr="00B80897" w:rsidRDefault="00B80897" w:rsidP="00B80897">
      <w:pPr>
        <w:spacing w:line="276" w:lineRule="auto"/>
        <w:rPr>
          <w:rFonts w:ascii="Arial" w:eastAsia="Calibri" w:hAnsi="Arial" w:cs="Arial"/>
          <w:b/>
          <w:sz w:val="24"/>
          <w:szCs w:val="24"/>
        </w:rPr>
      </w:pPr>
      <w:r w:rsidRPr="00B80897">
        <w:rPr>
          <w:rFonts w:ascii="Arial" w:eastAsia="Calibri" w:hAnsi="Arial" w:cs="Arial"/>
          <w:b/>
          <w:sz w:val="24"/>
          <w:szCs w:val="24"/>
        </w:rPr>
        <w:br w:type="page"/>
      </w:r>
    </w:p>
    <w:p w:rsidR="00B80897" w:rsidRPr="00B80897" w:rsidRDefault="00B80897" w:rsidP="00B80897">
      <w:pPr>
        <w:spacing w:line="360" w:lineRule="auto"/>
        <w:rPr>
          <w:rFonts w:ascii="Arial" w:eastAsia="Calibri" w:hAnsi="Arial" w:cs="Arial"/>
          <w:sz w:val="24"/>
          <w:szCs w:val="24"/>
        </w:rPr>
      </w:pPr>
      <w:r w:rsidRPr="00B80897">
        <w:rPr>
          <w:rFonts w:ascii="Arial" w:eastAsia="Calibri" w:hAnsi="Arial" w:cs="Arial"/>
          <w:b/>
          <w:sz w:val="24"/>
          <w:szCs w:val="24"/>
        </w:rPr>
        <w:lastRenderedPageBreak/>
        <w:t xml:space="preserve">Table S7. </w:t>
      </w:r>
      <w:r w:rsidRPr="00B80897">
        <w:rPr>
          <w:rFonts w:ascii="Arial" w:eastAsia="Calibri" w:hAnsi="Arial" w:cs="Arial"/>
          <w:sz w:val="24"/>
          <w:szCs w:val="24"/>
        </w:rPr>
        <w:t>Overview of Treatment-Emergent Adverse Events (MedDRA V12.1) and Death in Patients that Received at Least One Oral Dose</w:t>
      </w:r>
      <w:r w:rsidRPr="00B80897">
        <w:rPr>
          <w:rFonts w:ascii="Arial" w:eastAsia="Calibri" w:hAnsi="Arial" w:cs="Arial"/>
          <w:sz w:val="24"/>
          <w:szCs w:val="24"/>
          <w:vertAlign w:val="superscript"/>
        </w:rPr>
        <w:t>a</w:t>
      </w:r>
    </w:p>
    <w:tbl>
      <w:tblPr>
        <w:tblStyle w:val="TableGrid1"/>
        <w:tblW w:w="9639" w:type="dxa"/>
        <w:tblLayout w:type="fixed"/>
        <w:tblLook w:val="04A0" w:firstRow="1" w:lastRow="0" w:firstColumn="1" w:lastColumn="0" w:noHBand="0" w:noVBand="1"/>
      </w:tblPr>
      <w:tblGrid>
        <w:gridCol w:w="4535"/>
        <w:gridCol w:w="2552"/>
        <w:gridCol w:w="2552"/>
      </w:tblGrid>
      <w:tr w:rsidR="00B80897" w:rsidRPr="00B80897" w:rsidTr="00C649A0">
        <w:tc>
          <w:tcPr>
            <w:tcW w:w="4535" w:type="dxa"/>
            <w:tcBorders>
              <w:left w:val="nil"/>
              <w:bottom w:val="single" w:sz="4" w:space="0" w:color="auto"/>
              <w:right w:val="nil"/>
            </w:tcBorders>
            <w:vAlign w:val="center"/>
          </w:tcPr>
          <w:p w:rsidR="00B80897" w:rsidRPr="00B80897" w:rsidRDefault="00B80897" w:rsidP="00B80897">
            <w:pPr>
              <w:spacing w:after="0"/>
              <w:rPr>
                <w:rFonts w:ascii="Arial" w:eastAsia="Calibri" w:hAnsi="Arial" w:cs="Arial"/>
                <w:b/>
                <w:sz w:val="20"/>
                <w:szCs w:val="20"/>
                <w:lang w:val="en-GB"/>
              </w:rPr>
            </w:pPr>
            <w:r w:rsidRPr="00B80897">
              <w:rPr>
                <w:rFonts w:ascii="Arial" w:eastAsia="Calibri" w:hAnsi="Arial" w:cs="Arial"/>
                <w:b/>
                <w:sz w:val="20"/>
                <w:szCs w:val="20"/>
                <w:lang w:val="en-GB"/>
              </w:rPr>
              <w:t>Safety Population, n (%)</w:t>
            </w:r>
          </w:p>
        </w:tc>
        <w:tc>
          <w:tcPr>
            <w:tcW w:w="2552" w:type="dxa"/>
            <w:tcBorders>
              <w:left w:val="nil"/>
              <w:bottom w:val="single" w:sz="4" w:space="0" w:color="auto"/>
              <w:right w:val="nil"/>
            </w:tcBorders>
            <w:vAlign w:val="center"/>
          </w:tcPr>
          <w:p w:rsidR="00B80897" w:rsidRPr="00B80897" w:rsidRDefault="00B80897" w:rsidP="00B80897">
            <w:pPr>
              <w:spacing w:after="0"/>
              <w:jc w:val="center"/>
              <w:rPr>
                <w:rFonts w:ascii="Arial" w:eastAsia="Calibri" w:hAnsi="Arial" w:cs="Arial"/>
                <w:b/>
                <w:sz w:val="20"/>
                <w:szCs w:val="20"/>
                <w:lang w:val="en-GB"/>
              </w:rPr>
            </w:pPr>
            <w:r w:rsidRPr="00B80897">
              <w:rPr>
                <w:rFonts w:ascii="Arial" w:eastAsia="Calibri" w:hAnsi="Arial" w:cs="Arial"/>
                <w:b/>
                <w:sz w:val="20"/>
                <w:szCs w:val="20"/>
                <w:lang w:val="en-GB"/>
              </w:rPr>
              <w:t>Isavuconazole IV</w:t>
            </w:r>
            <w:r w:rsidRPr="00B80897">
              <w:rPr>
                <w:rFonts w:ascii="Calibri" w:eastAsia="Calibri" w:hAnsi="Calibri" w:cs="Times New Roman"/>
                <w:lang w:val="en-GB"/>
              </w:rPr>
              <w:t xml:space="preserve"> </w:t>
            </w:r>
            <w:r w:rsidRPr="00B80897">
              <w:rPr>
                <w:rFonts w:ascii="Arial" w:eastAsia="Calibri" w:hAnsi="Arial" w:cs="Arial"/>
                <w:b/>
                <w:sz w:val="20"/>
                <w:szCs w:val="20"/>
                <w:lang w:val="en-GB"/>
              </w:rPr>
              <w:t>→</w:t>
            </w:r>
          </w:p>
          <w:p w:rsidR="00B80897" w:rsidRPr="00B80897" w:rsidRDefault="00B80897" w:rsidP="00B80897">
            <w:pPr>
              <w:spacing w:after="0"/>
              <w:jc w:val="center"/>
              <w:rPr>
                <w:rFonts w:ascii="Arial" w:eastAsia="Calibri" w:hAnsi="Arial" w:cs="Arial"/>
                <w:b/>
                <w:sz w:val="20"/>
                <w:szCs w:val="20"/>
                <w:lang w:val="en-GB"/>
              </w:rPr>
            </w:pPr>
            <w:r w:rsidRPr="00B80897">
              <w:rPr>
                <w:rFonts w:ascii="Arial" w:eastAsia="Calibri" w:hAnsi="Arial" w:cs="Arial"/>
                <w:b/>
                <w:sz w:val="20"/>
                <w:szCs w:val="20"/>
                <w:lang w:val="en-GB"/>
              </w:rPr>
              <w:t>Oral isavuconazole</w:t>
            </w:r>
            <w:r w:rsidRPr="00B80897">
              <w:rPr>
                <w:rFonts w:ascii="Arial" w:eastAsia="Calibri" w:hAnsi="Arial" w:cs="Arial"/>
                <w:b/>
                <w:sz w:val="20"/>
                <w:szCs w:val="20"/>
                <w:vertAlign w:val="superscript"/>
                <w:lang w:val="en-GB"/>
              </w:rPr>
              <w:t>b</w:t>
            </w:r>
            <w:r w:rsidRPr="00B80897">
              <w:rPr>
                <w:rFonts w:ascii="Arial" w:eastAsia="Calibri" w:hAnsi="Arial" w:cs="Arial"/>
                <w:b/>
                <w:sz w:val="20"/>
                <w:szCs w:val="20"/>
                <w:lang w:val="en-GB"/>
              </w:rPr>
              <w:br/>
              <w:t>(n = 69)</w:t>
            </w:r>
          </w:p>
        </w:tc>
        <w:tc>
          <w:tcPr>
            <w:tcW w:w="2552" w:type="dxa"/>
            <w:tcBorders>
              <w:left w:val="nil"/>
              <w:bottom w:val="single" w:sz="4" w:space="0" w:color="auto"/>
              <w:right w:val="nil"/>
            </w:tcBorders>
            <w:vAlign w:val="center"/>
          </w:tcPr>
          <w:p w:rsidR="00B80897" w:rsidRPr="00B80897" w:rsidRDefault="00B80897" w:rsidP="00B80897">
            <w:pPr>
              <w:spacing w:after="0"/>
              <w:jc w:val="center"/>
              <w:rPr>
                <w:rFonts w:ascii="Arial" w:eastAsia="Calibri" w:hAnsi="Arial" w:cs="Arial"/>
                <w:b/>
                <w:bCs/>
                <w:sz w:val="20"/>
                <w:szCs w:val="20"/>
                <w:lang w:val="en-GB"/>
              </w:rPr>
            </w:pPr>
            <w:r w:rsidRPr="00B80897">
              <w:rPr>
                <w:rFonts w:ascii="Arial" w:eastAsia="Calibri" w:hAnsi="Arial" w:cs="Arial"/>
                <w:b/>
                <w:sz w:val="20"/>
                <w:szCs w:val="20"/>
                <w:lang w:val="en-GB"/>
              </w:rPr>
              <w:t xml:space="preserve">Caspofungin IV </w:t>
            </w:r>
            <w:r w:rsidRPr="00B80897">
              <w:rPr>
                <w:rFonts w:ascii="Arial" w:eastAsia="Calibri" w:hAnsi="Arial" w:cs="Arial"/>
                <w:b/>
                <w:bCs/>
                <w:sz w:val="20"/>
                <w:szCs w:val="20"/>
                <w:lang w:val="en-GB"/>
              </w:rPr>
              <w:t>→</w:t>
            </w:r>
          </w:p>
          <w:p w:rsidR="00B80897" w:rsidRPr="00B80897" w:rsidRDefault="00B80897" w:rsidP="00B80897">
            <w:pPr>
              <w:spacing w:after="0"/>
              <w:jc w:val="center"/>
              <w:rPr>
                <w:rFonts w:ascii="Arial" w:eastAsia="Calibri" w:hAnsi="Arial" w:cs="Arial"/>
                <w:b/>
                <w:sz w:val="20"/>
                <w:szCs w:val="20"/>
                <w:lang w:val="en-GB"/>
              </w:rPr>
            </w:pPr>
            <w:r w:rsidRPr="00B80897">
              <w:rPr>
                <w:rFonts w:ascii="Arial" w:eastAsia="Calibri" w:hAnsi="Arial" w:cs="Arial"/>
                <w:b/>
                <w:bCs/>
                <w:sz w:val="20"/>
                <w:szCs w:val="20"/>
                <w:lang w:val="en-GB"/>
              </w:rPr>
              <w:t>Oral voriconazole</w:t>
            </w:r>
          </w:p>
          <w:p w:rsidR="00B80897" w:rsidRPr="00B80897" w:rsidRDefault="00B80897" w:rsidP="00B80897">
            <w:pPr>
              <w:spacing w:after="0"/>
              <w:jc w:val="center"/>
              <w:rPr>
                <w:rFonts w:ascii="Arial" w:eastAsia="Calibri" w:hAnsi="Arial" w:cs="Arial"/>
                <w:b/>
                <w:sz w:val="20"/>
                <w:szCs w:val="20"/>
                <w:lang w:val="en-GB"/>
              </w:rPr>
            </w:pPr>
            <w:r w:rsidRPr="00B80897">
              <w:rPr>
                <w:rFonts w:ascii="Arial" w:eastAsia="Calibri" w:hAnsi="Arial" w:cs="Arial"/>
                <w:b/>
                <w:sz w:val="20"/>
                <w:szCs w:val="20"/>
                <w:lang w:val="en-GB"/>
              </w:rPr>
              <w:t>(n = 80)</w:t>
            </w:r>
          </w:p>
        </w:tc>
      </w:tr>
      <w:tr w:rsidR="00B80897" w:rsidRPr="00B80897" w:rsidTr="00C649A0">
        <w:tc>
          <w:tcPr>
            <w:tcW w:w="4535" w:type="dxa"/>
            <w:tcBorders>
              <w:left w:val="nil"/>
              <w:bottom w:val="nil"/>
              <w:right w:val="nil"/>
            </w:tcBorders>
            <w:vAlign w:val="center"/>
          </w:tcPr>
          <w:p w:rsidR="00B80897" w:rsidRPr="00B80897" w:rsidRDefault="00B80897" w:rsidP="00B80897">
            <w:pPr>
              <w:spacing w:after="0"/>
              <w:rPr>
                <w:rFonts w:ascii="Arial" w:eastAsia="Calibri" w:hAnsi="Arial" w:cs="Arial"/>
                <w:sz w:val="20"/>
                <w:szCs w:val="20"/>
                <w:lang w:val="en-GB"/>
              </w:rPr>
            </w:pPr>
            <w:r w:rsidRPr="00B80897">
              <w:rPr>
                <w:rFonts w:ascii="Arial" w:eastAsia="Calibri" w:hAnsi="Arial" w:cs="Arial"/>
                <w:sz w:val="20"/>
                <w:szCs w:val="20"/>
                <w:lang w:val="en-GB"/>
              </w:rPr>
              <w:t>Number of subjects ≥1 TEAE</w:t>
            </w:r>
          </w:p>
        </w:tc>
        <w:tc>
          <w:tcPr>
            <w:tcW w:w="2552" w:type="dxa"/>
            <w:tcBorders>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66 (95.7)</w:t>
            </w:r>
          </w:p>
        </w:tc>
        <w:tc>
          <w:tcPr>
            <w:tcW w:w="2552" w:type="dxa"/>
            <w:tcBorders>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77 (96.3)</w:t>
            </w:r>
          </w:p>
        </w:tc>
      </w:tr>
      <w:tr w:rsidR="00B80897" w:rsidRPr="00B80897" w:rsidTr="00C649A0">
        <w:tc>
          <w:tcPr>
            <w:tcW w:w="4535" w:type="dxa"/>
            <w:tcBorders>
              <w:top w:val="nil"/>
              <w:left w:val="nil"/>
              <w:bottom w:val="nil"/>
              <w:right w:val="nil"/>
            </w:tcBorders>
            <w:vAlign w:val="center"/>
          </w:tcPr>
          <w:p w:rsidR="00B80897" w:rsidRPr="00B80897" w:rsidRDefault="00B80897" w:rsidP="00B80897">
            <w:pPr>
              <w:spacing w:after="0"/>
              <w:rPr>
                <w:rFonts w:ascii="Arial" w:eastAsia="Calibri" w:hAnsi="Arial" w:cs="Arial"/>
                <w:sz w:val="20"/>
                <w:szCs w:val="20"/>
                <w:lang w:val="en-GB"/>
              </w:rPr>
            </w:pPr>
            <w:r w:rsidRPr="00B80897">
              <w:rPr>
                <w:rFonts w:ascii="Arial" w:eastAsia="Calibri" w:hAnsi="Arial" w:cs="Arial"/>
                <w:sz w:val="20"/>
                <w:szCs w:val="20"/>
                <w:lang w:val="en-GB"/>
              </w:rPr>
              <w:t>Study drug-related TEAE</w:t>
            </w:r>
          </w:p>
        </w:tc>
        <w:tc>
          <w:tcPr>
            <w:tcW w:w="2552" w:type="dxa"/>
            <w:tcBorders>
              <w:top w:val="nil"/>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31 (44.9)</w:t>
            </w:r>
          </w:p>
        </w:tc>
        <w:tc>
          <w:tcPr>
            <w:tcW w:w="2552" w:type="dxa"/>
            <w:tcBorders>
              <w:top w:val="nil"/>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31 (38.8)</w:t>
            </w:r>
          </w:p>
        </w:tc>
      </w:tr>
      <w:tr w:rsidR="00B80897" w:rsidRPr="00B80897" w:rsidTr="00C649A0">
        <w:trPr>
          <w:trHeight w:val="329"/>
        </w:trPr>
        <w:tc>
          <w:tcPr>
            <w:tcW w:w="4535" w:type="dxa"/>
            <w:tcBorders>
              <w:top w:val="nil"/>
              <w:left w:val="nil"/>
              <w:bottom w:val="nil"/>
              <w:right w:val="nil"/>
            </w:tcBorders>
            <w:vAlign w:val="center"/>
          </w:tcPr>
          <w:p w:rsidR="00B80897" w:rsidRPr="00B80897" w:rsidRDefault="00B80897" w:rsidP="00B80897">
            <w:pPr>
              <w:spacing w:after="0"/>
              <w:rPr>
                <w:rFonts w:ascii="Arial" w:eastAsia="Calibri" w:hAnsi="Arial" w:cs="Arial"/>
                <w:sz w:val="20"/>
                <w:szCs w:val="20"/>
                <w:lang w:val="en-GB"/>
              </w:rPr>
            </w:pPr>
            <w:r w:rsidRPr="00B80897">
              <w:rPr>
                <w:rFonts w:ascii="Arial" w:eastAsia="Calibri" w:hAnsi="Arial" w:cs="Arial"/>
                <w:sz w:val="20"/>
                <w:szCs w:val="20"/>
                <w:lang w:val="en-GB"/>
              </w:rPr>
              <w:t>Serious TEAE</w:t>
            </w:r>
          </w:p>
        </w:tc>
        <w:tc>
          <w:tcPr>
            <w:tcW w:w="2552" w:type="dxa"/>
            <w:tcBorders>
              <w:top w:val="nil"/>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20 (29.0)</w:t>
            </w:r>
          </w:p>
        </w:tc>
        <w:tc>
          <w:tcPr>
            <w:tcW w:w="2552" w:type="dxa"/>
            <w:tcBorders>
              <w:top w:val="nil"/>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26 (32.5)</w:t>
            </w:r>
          </w:p>
        </w:tc>
      </w:tr>
      <w:tr w:rsidR="00B80897" w:rsidRPr="00B80897" w:rsidTr="00C649A0">
        <w:tc>
          <w:tcPr>
            <w:tcW w:w="4535" w:type="dxa"/>
            <w:tcBorders>
              <w:top w:val="nil"/>
              <w:left w:val="nil"/>
              <w:bottom w:val="nil"/>
              <w:right w:val="nil"/>
            </w:tcBorders>
            <w:vAlign w:val="center"/>
          </w:tcPr>
          <w:p w:rsidR="00B80897" w:rsidRPr="00B80897" w:rsidRDefault="00B80897" w:rsidP="00B80897">
            <w:pPr>
              <w:spacing w:after="0"/>
              <w:rPr>
                <w:rFonts w:ascii="Arial" w:eastAsia="Calibri" w:hAnsi="Arial" w:cs="Arial"/>
                <w:sz w:val="20"/>
                <w:szCs w:val="20"/>
                <w:lang w:val="en-GB"/>
              </w:rPr>
            </w:pPr>
            <w:r w:rsidRPr="00B80897">
              <w:rPr>
                <w:rFonts w:ascii="Arial" w:eastAsia="Calibri" w:hAnsi="Arial" w:cs="Arial"/>
                <w:sz w:val="20"/>
                <w:szCs w:val="20"/>
                <w:lang w:val="en-GB"/>
              </w:rPr>
              <w:t>Study drug-related serious TEAE</w:t>
            </w:r>
          </w:p>
        </w:tc>
        <w:tc>
          <w:tcPr>
            <w:tcW w:w="2552" w:type="dxa"/>
            <w:tcBorders>
              <w:top w:val="nil"/>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4 (5.8)</w:t>
            </w:r>
          </w:p>
        </w:tc>
        <w:tc>
          <w:tcPr>
            <w:tcW w:w="2552" w:type="dxa"/>
            <w:tcBorders>
              <w:top w:val="nil"/>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3 (3.8)</w:t>
            </w:r>
          </w:p>
        </w:tc>
      </w:tr>
      <w:tr w:rsidR="00B80897" w:rsidRPr="00B80897" w:rsidTr="00C649A0">
        <w:tc>
          <w:tcPr>
            <w:tcW w:w="4535" w:type="dxa"/>
            <w:tcBorders>
              <w:top w:val="nil"/>
              <w:left w:val="nil"/>
              <w:bottom w:val="nil"/>
              <w:right w:val="nil"/>
            </w:tcBorders>
            <w:vAlign w:val="center"/>
          </w:tcPr>
          <w:p w:rsidR="00B80897" w:rsidRPr="00B80897" w:rsidRDefault="00B80897" w:rsidP="00B80897">
            <w:pPr>
              <w:spacing w:after="0"/>
              <w:rPr>
                <w:rFonts w:ascii="Arial" w:eastAsia="Calibri" w:hAnsi="Arial" w:cs="Arial"/>
                <w:sz w:val="20"/>
                <w:szCs w:val="20"/>
                <w:lang w:val="en-GB"/>
              </w:rPr>
            </w:pPr>
            <w:r w:rsidRPr="00B80897">
              <w:rPr>
                <w:rFonts w:ascii="Arial" w:eastAsia="Calibri" w:hAnsi="Arial" w:cs="Arial"/>
                <w:sz w:val="20"/>
                <w:szCs w:val="20"/>
                <w:lang w:val="en-GB"/>
              </w:rPr>
              <w:t>TEAE leading to discontinuation of study drug</w:t>
            </w:r>
          </w:p>
        </w:tc>
        <w:tc>
          <w:tcPr>
            <w:tcW w:w="2552" w:type="dxa"/>
            <w:tcBorders>
              <w:top w:val="nil"/>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1 (1.4)</w:t>
            </w:r>
          </w:p>
        </w:tc>
        <w:tc>
          <w:tcPr>
            <w:tcW w:w="2552" w:type="dxa"/>
            <w:tcBorders>
              <w:top w:val="nil"/>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6 (7.5)</w:t>
            </w:r>
          </w:p>
        </w:tc>
      </w:tr>
      <w:tr w:rsidR="00B80897" w:rsidRPr="00B80897" w:rsidTr="00C649A0">
        <w:tc>
          <w:tcPr>
            <w:tcW w:w="4535" w:type="dxa"/>
            <w:tcBorders>
              <w:top w:val="nil"/>
              <w:left w:val="nil"/>
              <w:bottom w:val="nil"/>
              <w:right w:val="nil"/>
            </w:tcBorders>
            <w:vAlign w:val="center"/>
          </w:tcPr>
          <w:p w:rsidR="00B80897" w:rsidRPr="00B80897" w:rsidRDefault="00B80897" w:rsidP="00B80897">
            <w:pPr>
              <w:spacing w:after="0"/>
              <w:rPr>
                <w:rFonts w:ascii="Arial" w:eastAsia="Calibri" w:hAnsi="Arial" w:cs="Arial"/>
                <w:sz w:val="20"/>
                <w:szCs w:val="20"/>
                <w:lang w:val="en-GB"/>
              </w:rPr>
            </w:pPr>
            <w:r w:rsidRPr="00B80897">
              <w:rPr>
                <w:rFonts w:ascii="Arial" w:eastAsia="Calibri" w:hAnsi="Arial" w:cs="Arial"/>
                <w:sz w:val="20"/>
                <w:szCs w:val="20"/>
                <w:lang w:val="en-GB"/>
              </w:rPr>
              <w:t>Study drug-related TEAE leading to discontinuation</w:t>
            </w:r>
          </w:p>
        </w:tc>
        <w:tc>
          <w:tcPr>
            <w:tcW w:w="2552" w:type="dxa"/>
            <w:tcBorders>
              <w:top w:val="nil"/>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0</w:t>
            </w:r>
          </w:p>
        </w:tc>
        <w:tc>
          <w:tcPr>
            <w:tcW w:w="2552" w:type="dxa"/>
            <w:tcBorders>
              <w:top w:val="nil"/>
              <w:left w:val="nil"/>
              <w:bottom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4 (5.0)</w:t>
            </w:r>
            <w:r w:rsidRPr="00B80897">
              <w:rPr>
                <w:rFonts w:ascii="Arial" w:eastAsia="Calibri" w:hAnsi="Arial" w:cs="Arial"/>
                <w:sz w:val="20"/>
                <w:szCs w:val="20"/>
                <w:vertAlign w:val="superscript"/>
                <w:lang w:val="en-GB"/>
              </w:rPr>
              <w:t>c</w:t>
            </w:r>
          </w:p>
        </w:tc>
      </w:tr>
      <w:tr w:rsidR="00B80897" w:rsidRPr="00B80897" w:rsidTr="00C649A0">
        <w:tc>
          <w:tcPr>
            <w:tcW w:w="4535" w:type="dxa"/>
            <w:tcBorders>
              <w:top w:val="nil"/>
              <w:left w:val="nil"/>
              <w:right w:val="nil"/>
            </w:tcBorders>
            <w:vAlign w:val="center"/>
          </w:tcPr>
          <w:p w:rsidR="00B80897" w:rsidRPr="00B80897" w:rsidRDefault="00B80897" w:rsidP="00B80897">
            <w:pPr>
              <w:spacing w:after="0"/>
              <w:rPr>
                <w:rFonts w:ascii="Arial" w:eastAsia="Calibri" w:hAnsi="Arial" w:cs="Arial"/>
                <w:sz w:val="20"/>
                <w:szCs w:val="20"/>
                <w:lang w:val="en-GB"/>
              </w:rPr>
            </w:pPr>
            <w:r w:rsidRPr="00B80897">
              <w:rPr>
                <w:rFonts w:ascii="Arial" w:eastAsia="Calibri" w:hAnsi="Arial" w:cs="Arial"/>
                <w:sz w:val="20"/>
                <w:szCs w:val="20"/>
                <w:lang w:val="en-GB"/>
              </w:rPr>
              <w:t>Death</w:t>
            </w:r>
          </w:p>
        </w:tc>
        <w:tc>
          <w:tcPr>
            <w:tcW w:w="2552" w:type="dxa"/>
            <w:tcBorders>
              <w:top w:val="nil"/>
              <w:left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5 (7.2)</w:t>
            </w:r>
          </w:p>
        </w:tc>
        <w:tc>
          <w:tcPr>
            <w:tcW w:w="2552" w:type="dxa"/>
            <w:tcBorders>
              <w:top w:val="nil"/>
              <w:left w:val="nil"/>
              <w:right w:val="nil"/>
            </w:tcBorders>
            <w:vAlign w:val="center"/>
          </w:tcPr>
          <w:p w:rsidR="00B80897" w:rsidRPr="00B80897" w:rsidRDefault="00B80897" w:rsidP="00B80897">
            <w:pPr>
              <w:spacing w:after="0"/>
              <w:jc w:val="center"/>
              <w:rPr>
                <w:rFonts w:ascii="Arial" w:eastAsia="Calibri" w:hAnsi="Arial" w:cs="Arial"/>
                <w:sz w:val="20"/>
                <w:szCs w:val="20"/>
                <w:lang w:val="en-GB"/>
              </w:rPr>
            </w:pPr>
            <w:r w:rsidRPr="00B80897">
              <w:rPr>
                <w:rFonts w:ascii="Arial" w:eastAsia="Calibri" w:hAnsi="Arial" w:cs="Arial"/>
                <w:sz w:val="20"/>
                <w:szCs w:val="20"/>
                <w:lang w:val="en-GB"/>
              </w:rPr>
              <w:t>10 (12.5)</w:t>
            </w:r>
          </w:p>
        </w:tc>
      </w:tr>
    </w:tbl>
    <w:p w:rsidR="00B80897" w:rsidRPr="00B80897" w:rsidRDefault="00B80897" w:rsidP="00B80897">
      <w:pPr>
        <w:spacing w:after="120" w:line="360" w:lineRule="auto"/>
        <w:rPr>
          <w:rFonts w:ascii="Arial" w:eastAsia="Calibri" w:hAnsi="Arial" w:cs="Arial"/>
          <w:sz w:val="18"/>
          <w:szCs w:val="24"/>
        </w:rPr>
      </w:pPr>
      <w:proofErr w:type="gramStart"/>
      <w:r w:rsidRPr="00B80897">
        <w:rPr>
          <w:rFonts w:ascii="Arial" w:eastAsia="Calibri" w:hAnsi="Arial" w:cs="Arial"/>
          <w:sz w:val="20"/>
          <w:szCs w:val="24"/>
          <w:vertAlign w:val="superscript"/>
        </w:rPr>
        <w:t>a1</w:t>
      </w:r>
      <w:r w:rsidRPr="00B80897">
        <w:rPr>
          <w:rFonts w:ascii="Arial" w:eastAsia="Calibri" w:hAnsi="Arial" w:cs="Times New Roman"/>
          <w:sz w:val="20"/>
          <w:szCs w:val="24"/>
        </w:rPr>
        <w:t>Data</w:t>
      </w:r>
      <w:proofErr w:type="gramEnd"/>
      <w:r w:rsidRPr="00B80897">
        <w:rPr>
          <w:rFonts w:ascii="Arial" w:eastAsia="Calibri" w:hAnsi="Arial" w:cs="Times New Roman"/>
          <w:sz w:val="20"/>
          <w:szCs w:val="24"/>
        </w:rPr>
        <w:t xml:space="preserve"> were analyzed according to the study drug that patients received as the first dose irrespective of study group assignment</w:t>
      </w:r>
    </w:p>
    <w:p w:rsidR="00B80897" w:rsidRPr="00B80897" w:rsidRDefault="00B80897" w:rsidP="00B80897">
      <w:pPr>
        <w:spacing w:after="120" w:line="360" w:lineRule="auto"/>
        <w:rPr>
          <w:rFonts w:ascii="Arial" w:eastAsia="Calibri" w:hAnsi="Arial" w:cs="Arial"/>
          <w:sz w:val="20"/>
          <w:szCs w:val="24"/>
        </w:rPr>
      </w:pPr>
      <w:proofErr w:type="gramStart"/>
      <w:r w:rsidRPr="00B80897">
        <w:rPr>
          <w:rFonts w:ascii="Arial" w:eastAsia="Calibri" w:hAnsi="Arial" w:cs="Arial"/>
          <w:sz w:val="20"/>
          <w:szCs w:val="24"/>
          <w:vertAlign w:val="superscript"/>
        </w:rPr>
        <w:t>b</w:t>
      </w:r>
      <w:r w:rsidRPr="00B80897">
        <w:rPr>
          <w:rFonts w:ascii="Arial" w:eastAsia="Calibri" w:hAnsi="Arial" w:cs="Arial"/>
          <w:sz w:val="20"/>
          <w:szCs w:val="24"/>
        </w:rPr>
        <w:t>One</w:t>
      </w:r>
      <w:proofErr w:type="gramEnd"/>
      <w:r w:rsidRPr="00B80897">
        <w:rPr>
          <w:rFonts w:ascii="Arial" w:eastAsia="Calibri" w:hAnsi="Arial" w:cs="Arial"/>
          <w:sz w:val="20"/>
          <w:szCs w:val="24"/>
        </w:rPr>
        <w:t xml:space="preserve"> patient was randomized to the isavuconazole group, but received caspofungin treatment on Day 1 and then was switched to isavuconazole treatment; this patient qualified for inclusion in the safety population for caspofungin</w:t>
      </w:r>
    </w:p>
    <w:p w:rsidR="00B80897" w:rsidRPr="00B80897" w:rsidRDefault="00B80897" w:rsidP="00B80897">
      <w:pPr>
        <w:spacing w:after="120" w:line="360" w:lineRule="auto"/>
        <w:rPr>
          <w:rFonts w:ascii="Arial" w:eastAsia="Calibri" w:hAnsi="Arial" w:cs="Arial"/>
          <w:sz w:val="20"/>
          <w:szCs w:val="24"/>
        </w:rPr>
      </w:pPr>
      <w:proofErr w:type="gramStart"/>
      <w:r w:rsidRPr="00B80897">
        <w:rPr>
          <w:rFonts w:ascii="Arial" w:eastAsia="Calibri" w:hAnsi="Arial" w:cs="Arial"/>
          <w:sz w:val="20"/>
          <w:szCs w:val="24"/>
          <w:vertAlign w:val="superscript"/>
        </w:rPr>
        <w:t>c</w:t>
      </w:r>
      <w:r w:rsidRPr="00B80897">
        <w:rPr>
          <w:rFonts w:ascii="Arial" w:eastAsia="Calibri" w:hAnsi="Arial" w:cs="Arial"/>
          <w:sz w:val="20"/>
          <w:szCs w:val="24"/>
        </w:rPr>
        <w:t>Three</w:t>
      </w:r>
      <w:proofErr w:type="gramEnd"/>
      <w:r w:rsidRPr="00B80897">
        <w:rPr>
          <w:rFonts w:ascii="Arial" w:eastAsia="Calibri" w:hAnsi="Arial" w:cs="Arial"/>
          <w:sz w:val="20"/>
          <w:szCs w:val="24"/>
        </w:rPr>
        <w:t xml:space="preserve"> patients discontinued while on caspofungin and 1 patient discontinued after switching to oral voriconazole</w:t>
      </w:r>
    </w:p>
    <w:p w:rsidR="00B80897" w:rsidRPr="00B80897" w:rsidRDefault="00B80897" w:rsidP="00B80897">
      <w:pPr>
        <w:spacing w:after="0"/>
        <w:rPr>
          <w:rFonts w:ascii="Arial" w:eastAsia="Calibri" w:hAnsi="Arial" w:cs="Arial"/>
          <w:sz w:val="20"/>
          <w:szCs w:val="24"/>
        </w:rPr>
      </w:pPr>
      <w:r w:rsidRPr="00B80897">
        <w:rPr>
          <w:rFonts w:ascii="Arial" w:eastAsia="Calibri" w:hAnsi="Arial" w:cs="Arial"/>
          <w:sz w:val="20"/>
          <w:szCs w:val="24"/>
        </w:rPr>
        <w:t>Abbreviation: TEAE, treatment-emergent adverse event.</w:t>
      </w:r>
    </w:p>
    <w:p w:rsidR="00226819" w:rsidRPr="009C1426" w:rsidRDefault="00226819" w:rsidP="009C1426"/>
    <w:sectPr w:rsidR="00226819" w:rsidRPr="009C14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imesNewRoman,Bold">
    <w:altName w:val="MS Mincho"/>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B420B48"/>
    <w:multiLevelType w:val="hybridMultilevel"/>
    <w:tmpl w:val="792AA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A06A6E"/>
    <w:multiLevelType w:val="hybridMultilevel"/>
    <w:tmpl w:val="B1A6B47A"/>
    <w:lvl w:ilvl="0" w:tplc="020604F6">
      <w:numFmt w:val="bullet"/>
      <w:lvlText w:val=""/>
      <w:lvlJc w:val="left"/>
      <w:pPr>
        <w:ind w:left="720" w:hanging="360"/>
      </w:pPr>
      <w:rPr>
        <w:rFonts w:ascii="Times New Roman" w:eastAsia="TimesNew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D005AF"/>
    <w:multiLevelType w:val="hybridMultilevel"/>
    <w:tmpl w:val="C5909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374CEC"/>
    <w:multiLevelType w:val="hybridMultilevel"/>
    <w:tmpl w:val="50FE89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3077078"/>
    <w:multiLevelType w:val="hybridMultilevel"/>
    <w:tmpl w:val="121CF996"/>
    <w:lvl w:ilvl="0" w:tplc="020604F6">
      <w:numFmt w:val="bullet"/>
      <w:lvlText w:val=""/>
      <w:lvlJc w:val="left"/>
      <w:pPr>
        <w:ind w:left="720" w:hanging="360"/>
      </w:pPr>
      <w:rPr>
        <w:rFonts w:ascii="Times New Roman" w:eastAsia="TimesNew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C13F5C"/>
    <w:multiLevelType w:val="hybridMultilevel"/>
    <w:tmpl w:val="D9F07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A63E4F"/>
    <w:multiLevelType w:val="hybridMultilevel"/>
    <w:tmpl w:val="E87ED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17A5263"/>
    <w:multiLevelType w:val="hybridMultilevel"/>
    <w:tmpl w:val="E8A4877C"/>
    <w:lvl w:ilvl="0" w:tplc="0B22650C">
      <w:numFmt w:val="bullet"/>
      <w:lvlText w:val=""/>
      <w:lvlJc w:val="left"/>
      <w:pPr>
        <w:ind w:left="814" w:hanging="360"/>
      </w:pPr>
      <w:rPr>
        <w:rFonts w:ascii="Wingdings" w:eastAsiaTheme="minorHAnsi" w:hAnsi="Wingdings" w:cs="Times New Roman" w:hint="default"/>
      </w:rPr>
    </w:lvl>
    <w:lvl w:ilvl="1" w:tplc="08090003" w:tentative="1">
      <w:start w:val="1"/>
      <w:numFmt w:val="bullet"/>
      <w:lvlText w:val="o"/>
      <w:lvlJc w:val="left"/>
      <w:pPr>
        <w:ind w:left="1534" w:hanging="360"/>
      </w:pPr>
      <w:rPr>
        <w:rFonts w:ascii="Courier New" w:hAnsi="Courier New" w:cs="Courier New" w:hint="default"/>
      </w:rPr>
    </w:lvl>
    <w:lvl w:ilvl="2" w:tplc="08090005" w:tentative="1">
      <w:start w:val="1"/>
      <w:numFmt w:val="bullet"/>
      <w:lvlText w:val=""/>
      <w:lvlJc w:val="left"/>
      <w:pPr>
        <w:ind w:left="2254" w:hanging="360"/>
      </w:pPr>
      <w:rPr>
        <w:rFonts w:ascii="Wingdings" w:hAnsi="Wingdings" w:hint="default"/>
      </w:rPr>
    </w:lvl>
    <w:lvl w:ilvl="3" w:tplc="08090001" w:tentative="1">
      <w:start w:val="1"/>
      <w:numFmt w:val="bullet"/>
      <w:lvlText w:val=""/>
      <w:lvlJc w:val="left"/>
      <w:pPr>
        <w:ind w:left="2974" w:hanging="360"/>
      </w:pPr>
      <w:rPr>
        <w:rFonts w:ascii="Symbol" w:hAnsi="Symbol" w:hint="default"/>
      </w:rPr>
    </w:lvl>
    <w:lvl w:ilvl="4" w:tplc="08090003" w:tentative="1">
      <w:start w:val="1"/>
      <w:numFmt w:val="bullet"/>
      <w:lvlText w:val="o"/>
      <w:lvlJc w:val="left"/>
      <w:pPr>
        <w:ind w:left="3694" w:hanging="360"/>
      </w:pPr>
      <w:rPr>
        <w:rFonts w:ascii="Courier New" w:hAnsi="Courier New" w:cs="Courier New" w:hint="default"/>
      </w:rPr>
    </w:lvl>
    <w:lvl w:ilvl="5" w:tplc="08090005" w:tentative="1">
      <w:start w:val="1"/>
      <w:numFmt w:val="bullet"/>
      <w:lvlText w:val=""/>
      <w:lvlJc w:val="left"/>
      <w:pPr>
        <w:ind w:left="4414" w:hanging="360"/>
      </w:pPr>
      <w:rPr>
        <w:rFonts w:ascii="Wingdings" w:hAnsi="Wingdings" w:hint="default"/>
      </w:rPr>
    </w:lvl>
    <w:lvl w:ilvl="6" w:tplc="08090001" w:tentative="1">
      <w:start w:val="1"/>
      <w:numFmt w:val="bullet"/>
      <w:lvlText w:val=""/>
      <w:lvlJc w:val="left"/>
      <w:pPr>
        <w:ind w:left="5134" w:hanging="360"/>
      </w:pPr>
      <w:rPr>
        <w:rFonts w:ascii="Symbol" w:hAnsi="Symbol" w:hint="default"/>
      </w:rPr>
    </w:lvl>
    <w:lvl w:ilvl="7" w:tplc="08090003" w:tentative="1">
      <w:start w:val="1"/>
      <w:numFmt w:val="bullet"/>
      <w:lvlText w:val="o"/>
      <w:lvlJc w:val="left"/>
      <w:pPr>
        <w:ind w:left="5854" w:hanging="360"/>
      </w:pPr>
      <w:rPr>
        <w:rFonts w:ascii="Courier New" w:hAnsi="Courier New" w:cs="Courier New" w:hint="default"/>
      </w:rPr>
    </w:lvl>
    <w:lvl w:ilvl="8" w:tplc="08090005" w:tentative="1">
      <w:start w:val="1"/>
      <w:numFmt w:val="bullet"/>
      <w:lvlText w:val=""/>
      <w:lvlJc w:val="left"/>
      <w:pPr>
        <w:ind w:left="6574" w:hanging="360"/>
      </w:pPr>
      <w:rPr>
        <w:rFonts w:ascii="Wingdings" w:hAnsi="Wingdings" w:hint="default"/>
      </w:rPr>
    </w:lvl>
  </w:abstractNum>
  <w:abstractNum w:abstractNumId="9">
    <w:nsid w:val="62A50F70"/>
    <w:multiLevelType w:val="hybridMultilevel"/>
    <w:tmpl w:val="C3460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730859FE"/>
    <w:multiLevelType w:val="hybridMultilevel"/>
    <w:tmpl w:val="BB2E8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2"/>
  </w:num>
  <w:num w:numId="4">
    <w:abstractNumId w:val="5"/>
  </w:num>
  <w:num w:numId="5">
    <w:abstractNumId w:val="6"/>
  </w:num>
  <w:num w:numId="6">
    <w:abstractNumId w:val="1"/>
  </w:num>
  <w:num w:numId="7">
    <w:abstractNumId w:val="0"/>
  </w:num>
  <w:num w:numId="8">
    <w:abstractNumId w:val="8"/>
  </w:num>
  <w:num w:numId="9">
    <w:abstractNumId w:val="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B42"/>
    <w:rsid w:val="00226819"/>
    <w:rsid w:val="002615B7"/>
    <w:rsid w:val="009C1426"/>
    <w:rsid w:val="00B80897"/>
    <w:rsid w:val="00C65B42"/>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B42"/>
    <w:pPr>
      <w:spacing w:after="200" w:line="480" w:lineRule="auto"/>
    </w:pPr>
    <w:rPr>
      <w:lang w:val="en-US"/>
    </w:rPr>
  </w:style>
  <w:style w:type="paragraph" w:styleId="Heading1">
    <w:name w:val="heading 1"/>
    <w:basedOn w:val="Normal"/>
    <w:link w:val="Heading1Char"/>
    <w:uiPriority w:val="9"/>
    <w:qFormat/>
    <w:rsid w:val="00B80897"/>
    <w:pPr>
      <w:spacing w:before="240" w:after="120" w:line="240" w:lineRule="auto"/>
      <w:outlineLvl w:val="0"/>
    </w:pPr>
    <w:rPr>
      <w:rFonts w:ascii="Times New Roman" w:eastAsia="Times New Roman" w:hAnsi="Times New Roman" w:cs="Times New Roman"/>
      <w:b/>
      <w:bCs/>
      <w:color w:val="000000"/>
      <w:kern w:val="36"/>
      <w:sz w:val="33"/>
      <w:szCs w:val="33"/>
    </w:rPr>
  </w:style>
  <w:style w:type="paragraph" w:styleId="Heading2">
    <w:name w:val="heading 2"/>
    <w:basedOn w:val="Normal"/>
    <w:next w:val="Normal"/>
    <w:link w:val="Heading2Char"/>
    <w:uiPriority w:val="9"/>
    <w:semiHidden/>
    <w:unhideWhenUsed/>
    <w:qFormat/>
    <w:rsid w:val="00B80897"/>
    <w:pPr>
      <w:keepNext/>
      <w:keepLines/>
      <w:spacing w:before="40" w:after="0"/>
      <w:outlineLvl w:val="1"/>
    </w:pPr>
    <w:rPr>
      <w:rFonts w:ascii="Cambria" w:eastAsia="MS Gothic" w:hAnsi="Cambria" w:cs="Times New Roman"/>
      <w:b/>
      <w:bCs/>
      <w:color w:val="4F81BD"/>
      <w:sz w:val="26"/>
      <w:szCs w:val="26"/>
      <w:lang w:val="en-GB"/>
    </w:rPr>
  </w:style>
  <w:style w:type="paragraph" w:styleId="Heading3">
    <w:name w:val="heading 3"/>
    <w:basedOn w:val="Normal"/>
    <w:next w:val="Normal"/>
    <w:link w:val="Heading3Char"/>
    <w:uiPriority w:val="9"/>
    <w:semiHidden/>
    <w:unhideWhenUsed/>
    <w:qFormat/>
    <w:rsid w:val="00B80897"/>
    <w:pPr>
      <w:keepNext/>
      <w:keepLines/>
      <w:spacing w:before="40" w:after="0"/>
      <w:outlineLvl w:val="2"/>
    </w:pPr>
    <w:rPr>
      <w:rFonts w:ascii="Cambria" w:eastAsia="MS Gothic" w:hAnsi="Cambria" w:cs="Times New Roman"/>
      <w:b/>
      <w:bCs/>
      <w:color w:val="4F81BD"/>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40"/>
    <w:rsid w:val="00C65B42"/>
    <w:pPr>
      <w:spacing w:after="0" w:line="240" w:lineRule="auto"/>
    </w:pPr>
    <w:rPr>
      <w:lang w:val="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Grid">
    <w:name w:val="Table Grid"/>
    <w:basedOn w:val="TableNormal"/>
    <w:uiPriority w:val="59"/>
    <w:rsid w:val="009C14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80897"/>
    <w:rPr>
      <w:rFonts w:ascii="Times New Roman" w:eastAsia="Times New Roman" w:hAnsi="Times New Roman" w:cs="Times New Roman"/>
      <w:b/>
      <w:bCs/>
      <w:color w:val="000000"/>
      <w:kern w:val="36"/>
      <w:sz w:val="33"/>
      <w:szCs w:val="33"/>
      <w:lang w:val="en-US"/>
    </w:rPr>
  </w:style>
  <w:style w:type="paragraph" w:customStyle="1" w:styleId="Heading21">
    <w:name w:val="Heading 21"/>
    <w:basedOn w:val="Normal"/>
    <w:next w:val="Normal"/>
    <w:uiPriority w:val="9"/>
    <w:semiHidden/>
    <w:unhideWhenUsed/>
    <w:qFormat/>
    <w:rsid w:val="00B80897"/>
    <w:pPr>
      <w:keepNext/>
      <w:keepLines/>
      <w:spacing w:before="200" w:after="0"/>
      <w:outlineLvl w:val="1"/>
    </w:pPr>
    <w:rPr>
      <w:rFonts w:ascii="Cambria" w:eastAsia="MS Gothic" w:hAnsi="Cambria" w:cs="Times New Roman"/>
      <w:b/>
      <w:bCs/>
      <w:color w:val="4F81BD"/>
      <w:sz w:val="26"/>
      <w:szCs w:val="26"/>
    </w:rPr>
  </w:style>
  <w:style w:type="paragraph" w:customStyle="1" w:styleId="Heading31">
    <w:name w:val="Heading 31"/>
    <w:basedOn w:val="Normal"/>
    <w:next w:val="Normal"/>
    <w:uiPriority w:val="9"/>
    <w:semiHidden/>
    <w:unhideWhenUsed/>
    <w:qFormat/>
    <w:rsid w:val="00B80897"/>
    <w:pPr>
      <w:keepNext/>
      <w:keepLines/>
      <w:spacing w:before="200" w:after="0"/>
      <w:outlineLvl w:val="2"/>
    </w:pPr>
    <w:rPr>
      <w:rFonts w:ascii="Cambria" w:eastAsia="MS Gothic" w:hAnsi="Cambria" w:cs="Times New Roman"/>
      <w:b/>
      <w:bCs/>
      <w:color w:val="4F81BD"/>
    </w:rPr>
  </w:style>
  <w:style w:type="numbering" w:customStyle="1" w:styleId="NoList1">
    <w:name w:val="No List1"/>
    <w:next w:val="NoList"/>
    <w:uiPriority w:val="99"/>
    <w:semiHidden/>
    <w:unhideWhenUsed/>
    <w:rsid w:val="00B80897"/>
  </w:style>
  <w:style w:type="paragraph" w:styleId="Header">
    <w:name w:val="header"/>
    <w:basedOn w:val="Normal"/>
    <w:link w:val="HeaderChar"/>
    <w:uiPriority w:val="99"/>
    <w:unhideWhenUsed/>
    <w:rsid w:val="00B808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0897"/>
    <w:rPr>
      <w:lang w:val="en-US"/>
    </w:rPr>
  </w:style>
  <w:style w:type="paragraph" w:styleId="Footer">
    <w:name w:val="footer"/>
    <w:basedOn w:val="Normal"/>
    <w:link w:val="FooterChar"/>
    <w:uiPriority w:val="99"/>
    <w:unhideWhenUsed/>
    <w:rsid w:val="00B808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0897"/>
    <w:rPr>
      <w:lang w:val="en-US"/>
    </w:rPr>
  </w:style>
  <w:style w:type="character" w:customStyle="1" w:styleId="Hyperlink1">
    <w:name w:val="Hyperlink1"/>
    <w:basedOn w:val="DefaultParagraphFont"/>
    <w:uiPriority w:val="99"/>
    <w:unhideWhenUsed/>
    <w:rsid w:val="00B80897"/>
    <w:rPr>
      <w:color w:val="0000FF"/>
      <w:u w:val="single"/>
    </w:rPr>
  </w:style>
  <w:style w:type="paragraph" w:styleId="BalloonText">
    <w:name w:val="Balloon Text"/>
    <w:basedOn w:val="Normal"/>
    <w:link w:val="BalloonTextChar"/>
    <w:uiPriority w:val="99"/>
    <w:semiHidden/>
    <w:unhideWhenUsed/>
    <w:rsid w:val="00B80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897"/>
    <w:rPr>
      <w:rFonts w:ascii="Tahoma" w:hAnsi="Tahoma" w:cs="Tahoma"/>
      <w:sz w:val="16"/>
      <w:szCs w:val="16"/>
      <w:lang w:val="en-US"/>
    </w:rPr>
  </w:style>
  <w:style w:type="character" w:styleId="CommentReference">
    <w:name w:val="annotation reference"/>
    <w:basedOn w:val="DefaultParagraphFont"/>
    <w:uiPriority w:val="99"/>
    <w:semiHidden/>
    <w:unhideWhenUsed/>
    <w:rsid w:val="00B80897"/>
    <w:rPr>
      <w:sz w:val="16"/>
      <w:szCs w:val="16"/>
    </w:rPr>
  </w:style>
  <w:style w:type="paragraph" w:styleId="CommentText">
    <w:name w:val="annotation text"/>
    <w:basedOn w:val="Normal"/>
    <w:link w:val="CommentTextChar"/>
    <w:uiPriority w:val="99"/>
    <w:unhideWhenUsed/>
    <w:rsid w:val="00B80897"/>
    <w:pPr>
      <w:spacing w:line="240" w:lineRule="auto"/>
    </w:pPr>
    <w:rPr>
      <w:sz w:val="20"/>
      <w:szCs w:val="20"/>
    </w:rPr>
  </w:style>
  <w:style w:type="character" w:customStyle="1" w:styleId="CommentTextChar">
    <w:name w:val="Comment Text Char"/>
    <w:basedOn w:val="DefaultParagraphFont"/>
    <w:link w:val="CommentText"/>
    <w:uiPriority w:val="99"/>
    <w:rsid w:val="00B80897"/>
    <w:rPr>
      <w:sz w:val="20"/>
      <w:szCs w:val="20"/>
      <w:lang w:val="en-US"/>
    </w:rPr>
  </w:style>
  <w:style w:type="paragraph" w:styleId="CommentSubject">
    <w:name w:val="annotation subject"/>
    <w:basedOn w:val="CommentText"/>
    <w:next w:val="CommentText"/>
    <w:link w:val="CommentSubjectChar"/>
    <w:uiPriority w:val="99"/>
    <w:semiHidden/>
    <w:unhideWhenUsed/>
    <w:rsid w:val="00B80897"/>
    <w:rPr>
      <w:b/>
      <w:bCs/>
    </w:rPr>
  </w:style>
  <w:style w:type="character" w:customStyle="1" w:styleId="CommentSubjectChar">
    <w:name w:val="Comment Subject Char"/>
    <w:basedOn w:val="CommentTextChar"/>
    <w:link w:val="CommentSubject"/>
    <w:uiPriority w:val="99"/>
    <w:semiHidden/>
    <w:rsid w:val="00B80897"/>
    <w:rPr>
      <w:b/>
      <w:bCs/>
      <w:sz w:val="20"/>
      <w:szCs w:val="20"/>
      <w:lang w:val="en-US"/>
    </w:rPr>
  </w:style>
  <w:style w:type="table" w:customStyle="1" w:styleId="ListTable1Light1">
    <w:name w:val="List Table 1 Light1"/>
    <w:basedOn w:val="TableNormal"/>
    <w:uiPriority w:val="46"/>
    <w:rsid w:val="00B8089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NormalWeb">
    <w:name w:val="Normal (Web)"/>
    <w:basedOn w:val="Normal"/>
    <w:uiPriority w:val="99"/>
    <w:unhideWhenUsed/>
    <w:rsid w:val="00B808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B80897"/>
    <w:rPr>
      <w:rFonts w:ascii="Cambria" w:eastAsia="MS Gothic" w:hAnsi="Cambria" w:cs="Times New Roman"/>
      <w:b/>
      <w:bCs/>
      <w:color w:val="4F81BD"/>
      <w:sz w:val="26"/>
      <w:szCs w:val="26"/>
    </w:rPr>
  </w:style>
  <w:style w:type="character" w:customStyle="1" w:styleId="Heading3Char">
    <w:name w:val="Heading 3 Char"/>
    <w:basedOn w:val="DefaultParagraphFont"/>
    <w:link w:val="Heading3"/>
    <w:uiPriority w:val="9"/>
    <w:semiHidden/>
    <w:rsid w:val="00B80897"/>
    <w:rPr>
      <w:rFonts w:ascii="Cambria" w:eastAsia="MS Gothic" w:hAnsi="Cambria" w:cs="Times New Roman"/>
      <w:b/>
      <w:bCs/>
      <w:color w:val="4F81BD"/>
    </w:rPr>
  </w:style>
  <w:style w:type="paragraph" w:customStyle="1" w:styleId="15TableRowColHeader">
    <w:name w:val="15Table Row/Col Header"/>
    <w:link w:val="15TableRowColHeaderChar"/>
    <w:uiPriority w:val="16"/>
    <w:qFormat/>
    <w:rsid w:val="00B80897"/>
    <w:pPr>
      <w:spacing w:before="120" w:after="120" w:line="480" w:lineRule="auto"/>
      <w:jc w:val="center"/>
    </w:pPr>
    <w:rPr>
      <w:rFonts w:ascii="Times New Roman" w:eastAsia="MS Mincho" w:hAnsi="Times New Roman" w:cs="Times New Roman"/>
      <w:b/>
      <w:lang w:val="en-US"/>
    </w:rPr>
  </w:style>
  <w:style w:type="paragraph" w:customStyle="1" w:styleId="18TableEntries11pt">
    <w:name w:val="18Table Entries 11 pt"/>
    <w:link w:val="18TableEntries11ptChar"/>
    <w:uiPriority w:val="18"/>
    <w:qFormat/>
    <w:rsid w:val="00B80897"/>
    <w:pPr>
      <w:spacing w:before="120" w:after="120" w:line="480" w:lineRule="auto"/>
      <w:jc w:val="center"/>
    </w:pPr>
    <w:rPr>
      <w:rFonts w:ascii="Times New Roman" w:eastAsia="MS Mincho" w:hAnsi="Times New Roman" w:cs="Times New Roman"/>
      <w:lang w:val="en-US"/>
    </w:rPr>
  </w:style>
  <w:style w:type="paragraph" w:customStyle="1" w:styleId="20TableFootnote">
    <w:name w:val="20Table Footnote"/>
    <w:link w:val="20TableFootnoteChar"/>
    <w:rsid w:val="00B80897"/>
    <w:pPr>
      <w:spacing w:before="60" w:after="60" w:line="480" w:lineRule="auto"/>
    </w:pPr>
    <w:rPr>
      <w:rFonts w:ascii="Times New Roman" w:eastAsia="MS Mincho" w:hAnsi="Times New Roman" w:cs="Times New Roman"/>
      <w:sz w:val="20"/>
      <w:szCs w:val="20"/>
      <w:lang w:val="en-US"/>
    </w:rPr>
  </w:style>
  <w:style w:type="character" w:customStyle="1" w:styleId="18TableEntries11ptChar">
    <w:name w:val="18Table Entries 11 pt Char"/>
    <w:link w:val="18TableEntries11pt"/>
    <w:uiPriority w:val="18"/>
    <w:rsid w:val="00B80897"/>
    <w:rPr>
      <w:rFonts w:ascii="Times New Roman" w:eastAsia="MS Mincho" w:hAnsi="Times New Roman" w:cs="Times New Roman"/>
      <w:lang w:val="en-US"/>
    </w:rPr>
  </w:style>
  <w:style w:type="character" w:customStyle="1" w:styleId="15TableRowColHeaderChar">
    <w:name w:val="15Table Row/Col Header Char"/>
    <w:link w:val="15TableRowColHeader"/>
    <w:uiPriority w:val="16"/>
    <w:rsid w:val="00B80897"/>
    <w:rPr>
      <w:rFonts w:ascii="Times New Roman" w:eastAsia="MS Mincho" w:hAnsi="Times New Roman" w:cs="Times New Roman"/>
      <w:b/>
      <w:lang w:val="en-US"/>
    </w:rPr>
  </w:style>
  <w:style w:type="character" w:customStyle="1" w:styleId="20TableFootnoteChar">
    <w:name w:val="20Table Footnote Char"/>
    <w:link w:val="20TableFootnote"/>
    <w:rsid w:val="00B80897"/>
    <w:rPr>
      <w:rFonts w:ascii="Times New Roman" w:eastAsia="MS Mincho" w:hAnsi="Times New Roman" w:cs="Times New Roman"/>
      <w:sz w:val="20"/>
      <w:szCs w:val="20"/>
      <w:lang w:val="en-US"/>
    </w:rPr>
  </w:style>
  <w:style w:type="paragraph" w:customStyle="1" w:styleId="00Paragraph">
    <w:name w:val="00Paragraph"/>
    <w:link w:val="00ParagraphChar"/>
    <w:rsid w:val="00B80897"/>
    <w:pPr>
      <w:spacing w:before="120" w:after="120" w:line="300" w:lineRule="atLeast"/>
    </w:pPr>
    <w:rPr>
      <w:rFonts w:ascii="Times New Roman" w:eastAsia="MS Mincho" w:hAnsi="Times New Roman" w:cs="Times New Roman"/>
      <w:sz w:val="24"/>
      <w:szCs w:val="24"/>
      <w:lang w:val="en-US"/>
    </w:rPr>
  </w:style>
  <w:style w:type="character" w:customStyle="1" w:styleId="00ParagraphChar">
    <w:name w:val="00Paragraph Char"/>
    <w:link w:val="00Paragraph"/>
    <w:rsid w:val="00B80897"/>
    <w:rPr>
      <w:rFonts w:ascii="Times New Roman" w:eastAsia="MS Mincho" w:hAnsi="Times New Roman" w:cs="Times New Roman"/>
      <w:sz w:val="24"/>
      <w:szCs w:val="24"/>
      <w:lang w:val="en-US"/>
    </w:rPr>
  </w:style>
  <w:style w:type="character" w:styleId="LineNumber">
    <w:name w:val="line number"/>
    <w:basedOn w:val="DefaultParagraphFont"/>
    <w:uiPriority w:val="99"/>
    <w:semiHidden/>
    <w:unhideWhenUsed/>
    <w:rsid w:val="00B80897"/>
  </w:style>
  <w:style w:type="paragraph" w:customStyle="1" w:styleId="EndNoteBibliographyTitle">
    <w:name w:val="EndNote Bibliography Title"/>
    <w:basedOn w:val="Normal"/>
    <w:link w:val="EndNoteBibliographyTitleChar"/>
    <w:rsid w:val="00B80897"/>
    <w:pPr>
      <w:spacing w:after="0"/>
      <w:jc w:val="center"/>
    </w:pPr>
    <w:rPr>
      <w:rFonts w:ascii="Arial" w:hAnsi="Arial" w:cs="Arial"/>
      <w:noProof/>
    </w:rPr>
  </w:style>
  <w:style w:type="character" w:customStyle="1" w:styleId="EndNoteBibliographyTitleChar">
    <w:name w:val="EndNote Bibliography Title Char"/>
    <w:basedOn w:val="DefaultParagraphFont"/>
    <w:link w:val="EndNoteBibliographyTitle"/>
    <w:rsid w:val="00B80897"/>
    <w:rPr>
      <w:rFonts w:ascii="Arial" w:hAnsi="Arial" w:cs="Arial"/>
      <w:noProof/>
      <w:lang w:val="en-US"/>
    </w:rPr>
  </w:style>
  <w:style w:type="paragraph" w:customStyle="1" w:styleId="EndNoteBibliography">
    <w:name w:val="EndNote Bibliography"/>
    <w:basedOn w:val="Normal"/>
    <w:link w:val="EndNoteBibliographyChar"/>
    <w:rsid w:val="00B80897"/>
    <w:rPr>
      <w:rFonts w:ascii="Arial" w:hAnsi="Arial" w:cs="Arial"/>
      <w:noProof/>
    </w:rPr>
  </w:style>
  <w:style w:type="character" w:customStyle="1" w:styleId="EndNoteBibliographyChar">
    <w:name w:val="EndNote Bibliography Char"/>
    <w:basedOn w:val="DefaultParagraphFont"/>
    <w:link w:val="EndNoteBibliography"/>
    <w:rsid w:val="00B80897"/>
    <w:rPr>
      <w:rFonts w:ascii="Arial" w:hAnsi="Arial" w:cs="Arial"/>
      <w:noProof/>
      <w:lang w:val="en-US"/>
    </w:rPr>
  </w:style>
  <w:style w:type="paragraph" w:styleId="ListParagraph">
    <w:name w:val="List Paragraph"/>
    <w:basedOn w:val="Normal"/>
    <w:uiPriority w:val="34"/>
    <w:qFormat/>
    <w:rsid w:val="00B80897"/>
    <w:pPr>
      <w:ind w:left="720"/>
      <w:contextualSpacing/>
    </w:pPr>
  </w:style>
  <w:style w:type="paragraph" w:styleId="Revision">
    <w:name w:val="Revision"/>
    <w:hidden/>
    <w:uiPriority w:val="99"/>
    <w:semiHidden/>
    <w:rsid w:val="00B80897"/>
    <w:pPr>
      <w:spacing w:after="0" w:line="240" w:lineRule="auto"/>
    </w:pPr>
    <w:rPr>
      <w:lang w:val="en-US"/>
    </w:rPr>
  </w:style>
  <w:style w:type="paragraph" w:customStyle="1" w:styleId="Standard">
    <w:name w:val="Standard"/>
    <w:qFormat/>
    <w:rsid w:val="00B80897"/>
    <w:pPr>
      <w:spacing w:after="200" w:line="276" w:lineRule="auto"/>
    </w:pPr>
    <w:rPr>
      <w:rFonts w:ascii="Calibri" w:eastAsia="Calibri" w:hAnsi="Calibri" w:cs="Times New Roman"/>
      <w:lang w:val="de-DE"/>
    </w:rPr>
  </w:style>
  <w:style w:type="paragraph" w:customStyle="1" w:styleId="Figure1">
    <w:name w:val="Figure1"/>
    <w:basedOn w:val="Normal"/>
    <w:qFormat/>
    <w:rsid w:val="00B80897"/>
    <w:pPr>
      <w:spacing w:after="0" w:line="276" w:lineRule="auto"/>
    </w:pPr>
    <w:rPr>
      <w:rFonts w:ascii="Calibri" w:hAnsi="Calibri" w:cs="Times New Roman"/>
      <w:sz w:val="20"/>
      <w:lang w:val="en-GB"/>
    </w:rPr>
  </w:style>
  <w:style w:type="table" w:customStyle="1" w:styleId="TableGrid1">
    <w:name w:val="Table Grid1"/>
    <w:basedOn w:val="TableNormal"/>
    <w:next w:val="TableGrid"/>
    <w:uiPriority w:val="59"/>
    <w:rsid w:val="00B808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1">
    <w:name w:val="Plain Table 21"/>
    <w:basedOn w:val="TableNormal"/>
    <w:uiPriority w:val="42"/>
    <w:rsid w:val="00B80897"/>
    <w:pPr>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Light11">
    <w:name w:val="Table Grid Light11"/>
    <w:basedOn w:val="TableNormal"/>
    <w:uiPriority w:val="40"/>
    <w:rsid w:val="00B80897"/>
    <w:pPr>
      <w:spacing w:after="0" w:line="240" w:lineRule="auto"/>
    </w:pPr>
    <w:rPr>
      <w:lang w:val="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Emphasis">
    <w:name w:val="Emphasis"/>
    <w:basedOn w:val="DefaultParagraphFont"/>
    <w:uiPriority w:val="20"/>
    <w:qFormat/>
    <w:rsid w:val="00B80897"/>
    <w:rPr>
      <w:i/>
      <w:iCs/>
    </w:rPr>
  </w:style>
  <w:style w:type="paragraph" w:styleId="DocumentMap">
    <w:name w:val="Document Map"/>
    <w:basedOn w:val="Normal"/>
    <w:link w:val="DocumentMapChar"/>
    <w:uiPriority w:val="99"/>
    <w:semiHidden/>
    <w:unhideWhenUsed/>
    <w:rsid w:val="00B80897"/>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B80897"/>
    <w:rPr>
      <w:rFonts w:ascii="Times New Roman" w:hAnsi="Times New Roman" w:cs="Times New Roman"/>
      <w:sz w:val="24"/>
      <w:szCs w:val="24"/>
      <w:lang w:val="en-US"/>
    </w:rPr>
  </w:style>
  <w:style w:type="character" w:styleId="Hyperlink">
    <w:name w:val="Hyperlink"/>
    <w:basedOn w:val="DefaultParagraphFont"/>
    <w:uiPriority w:val="99"/>
    <w:semiHidden/>
    <w:unhideWhenUsed/>
    <w:rsid w:val="00B80897"/>
    <w:rPr>
      <w:color w:val="0563C1" w:themeColor="hyperlink"/>
      <w:u w:val="single"/>
    </w:rPr>
  </w:style>
  <w:style w:type="character" w:customStyle="1" w:styleId="Heading2Char1">
    <w:name w:val="Heading 2 Char1"/>
    <w:basedOn w:val="DefaultParagraphFont"/>
    <w:uiPriority w:val="9"/>
    <w:semiHidden/>
    <w:rsid w:val="00B80897"/>
    <w:rPr>
      <w:rFonts w:asciiTheme="majorHAnsi" w:eastAsiaTheme="majorEastAsia" w:hAnsiTheme="majorHAnsi" w:cstheme="majorBidi"/>
      <w:color w:val="2E74B5" w:themeColor="accent1" w:themeShade="BF"/>
      <w:sz w:val="26"/>
      <w:szCs w:val="26"/>
      <w:lang w:val="en-US"/>
    </w:rPr>
  </w:style>
  <w:style w:type="character" w:customStyle="1" w:styleId="Heading3Char1">
    <w:name w:val="Heading 3 Char1"/>
    <w:basedOn w:val="DefaultParagraphFont"/>
    <w:uiPriority w:val="9"/>
    <w:semiHidden/>
    <w:rsid w:val="00B80897"/>
    <w:rPr>
      <w:rFonts w:asciiTheme="majorHAnsi" w:eastAsiaTheme="majorEastAsia" w:hAnsiTheme="majorHAnsi" w:cstheme="majorBidi"/>
      <w:color w:val="1F4D78" w:themeColor="accent1" w:themeShade="7F"/>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B42"/>
    <w:pPr>
      <w:spacing w:after="200" w:line="480" w:lineRule="auto"/>
    </w:pPr>
    <w:rPr>
      <w:lang w:val="en-US"/>
    </w:rPr>
  </w:style>
  <w:style w:type="paragraph" w:styleId="Heading1">
    <w:name w:val="heading 1"/>
    <w:basedOn w:val="Normal"/>
    <w:link w:val="Heading1Char"/>
    <w:uiPriority w:val="9"/>
    <w:qFormat/>
    <w:rsid w:val="00B80897"/>
    <w:pPr>
      <w:spacing w:before="240" w:after="120" w:line="240" w:lineRule="auto"/>
      <w:outlineLvl w:val="0"/>
    </w:pPr>
    <w:rPr>
      <w:rFonts w:ascii="Times New Roman" w:eastAsia="Times New Roman" w:hAnsi="Times New Roman" w:cs="Times New Roman"/>
      <w:b/>
      <w:bCs/>
      <w:color w:val="000000"/>
      <w:kern w:val="36"/>
      <w:sz w:val="33"/>
      <w:szCs w:val="33"/>
    </w:rPr>
  </w:style>
  <w:style w:type="paragraph" w:styleId="Heading2">
    <w:name w:val="heading 2"/>
    <w:basedOn w:val="Normal"/>
    <w:next w:val="Normal"/>
    <w:link w:val="Heading2Char"/>
    <w:uiPriority w:val="9"/>
    <w:semiHidden/>
    <w:unhideWhenUsed/>
    <w:qFormat/>
    <w:rsid w:val="00B80897"/>
    <w:pPr>
      <w:keepNext/>
      <w:keepLines/>
      <w:spacing w:before="40" w:after="0"/>
      <w:outlineLvl w:val="1"/>
    </w:pPr>
    <w:rPr>
      <w:rFonts w:ascii="Cambria" w:eastAsia="MS Gothic" w:hAnsi="Cambria" w:cs="Times New Roman"/>
      <w:b/>
      <w:bCs/>
      <w:color w:val="4F81BD"/>
      <w:sz w:val="26"/>
      <w:szCs w:val="26"/>
      <w:lang w:val="en-GB"/>
    </w:rPr>
  </w:style>
  <w:style w:type="paragraph" w:styleId="Heading3">
    <w:name w:val="heading 3"/>
    <w:basedOn w:val="Normal"/>
    <w:next w:val="Normal"/>
    <w:link w:val="Heading3Char"/>
    <w:uiPriority w:val="9"/>
    <w:semiHidden/>
    <w:unhideWhenUsed/>
    <w:qFormat/>
    <w:rsid w:val="00B80897"/>
    <w:pPr>
      <w:keepNext/>
      <w:keepLines/>
      <w:spacing w:before="40" w:after="0"/>
      <w:outlineLvl w:val="2"/>
    </w:pPr>
    <w:rPr>
      <w:rFonts w:ascii="Cambria" w:eastAsia="MS Gothic" w:hAnsi="Cambria" w:cs="Times New Roman"/>
      <w:b/>
      <w:bCs/>
      <w:color w:val="4F81BD"/>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40"/>
    <w:rsid w:val="00C65B42"/>
    <w:pPr>
      <w:spacing w:after="0" w:line="240" w:lineRule="auto"/>
    </w:pPr>
    <w:rPr>
      <w:lang w:val="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Grid">
    <w:name w:val="Table Grid"/>
    <w:basedOn w:val="TableNormal"/>
    <w:uiPriority w:val="59"/>
    <w:rsid w:val="009C14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80897"/>
    <w:rPr>
      <w:rFonts w:ascii="Times New Roman" w:eastAsia="Times New Roman" w:hAnsi="Times New Roman" w:cs="Times New Roman"/>
      <w:b/>
      <w:bCs/>
      <w:color w:val="000000"/>
      <w:kern w:val="36"/>
      <w:sz w:val="33"/>
      <w:szCs w:val="33"/>
      <w:lang w:val="en-US"/>
    </w:rPr>
  </w:style>
  <w:style w:type="paragraph" w:customStyle="1" w:styleId="Heading21">
    <w:name w:val="Heading 21"/>
    <w:basedOn w:val="Normal"/>
    <w:next w:val="Normal"/>
    <w:uiPriority w:val="9"/>
    <w:semiHidden/>
    <w:unhideWhenUsed/>
    <w:qFormat/>
    <w:rsid w:val="00B80897"/>
    <w:pPr>
      <w:keepNext/>
      <w:keepLines/>
      <w:spacing w:before="200" w:after="0"/>
      <w:outlineLvl w:val="1"/>
    </w:pPr>
    <w:rPr>
      <w:rFonts w:ascii="Cambria" w:eastAsia="MS Gothic" w:hAnsi="Cambria" w:cs="Times New Roman"/>
      <w:b/>
      <w:bCs/>
      <w:color w:val="4F81BD"/>
      <w:sz w:val="26"/>
      <w:szCs w:val="26"/>
    </w:rPr>
  </w:style>
  <w:style w:type="paragraph" w:customStyle="1" w:styleId="Heading31">
    <w:name w:val="Heading 31"/>
    <w:basedOn w:val="Normal"/>
    <w:next w:val="Normal"/>
    <w:uiPriority w:val="9"/>
    <w:semiHidden/>
    <w:unhideWhenUsed/>
    <w:qFormat/>
    <w:rsid w:val="00B80897"/>
    <w:pPr>
      <w:keepNext/>
      <w:keepLines/>
      <w:spacing w:before="200" w:after="0"/>
      <w:outlineLvl w:val="2"/>
    </w:pPr>
    <w:rPr>
      <w:rFonts w:ascii="Cambria" w:eastAsia="MS Gothic" w:hAnsi="Cambria" w:cs="Times New Roman"/>
      <w:b/>
      <w:bCs/>
      <w:color w:val="4F81BD"/>
    </w:rPr>
  </w:style>
  <w:style w:type="numbering" w:customStyle="1" w:styleId="NoList1">
    <w:name w:val="No List1"/>
    <w:next w:val="NoList"/>
    <w:uiPriority w:val="99"/>
    <w:semiHidden/>
    <w:unhideWhenUsed/>
    <w:rsid w:val="00B80897"/>
  </w:style>
  <w:style w:type="paragraph" w:styleId="Header">
    <w:name w:val="header"/>
    <w:basedOn w:val="Normal"/>
    <w:link w:val="HeaderChar"/>
    <w:uiPriority w:val="99"/>
    <w:unhideWhenUsed/>
    <w:rsid w:val="00B808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0897"/>
    <w:rPr>
      <w:lang w:val="en-US"/>
    </w:rPr>
  </w:style>
  <w:style w:type="paragraph" w:styleId="Footer">
    <w:name w:val="footer"/>
    <w:basedOn w:val="Normal"/>
    <w:link w:val="FooterChar"/>
    <w:uiPriority w:val="99"/>
    <w:unhideWhenUsed/>
    <w:rsid w:val="00B808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0897"/>
    <w:rPr>
      <w:lang w:val="en-US"/>
    </w:rPr>
  </w:style>
  <w:style w:type="character" w:customStyle="1" w:styleId="Hyperlink1">
    <w:name w:val="Hyperlink1"/>
    <w:basedOn w:val="DefaultParagraphFont"/>
    <w:uiPriority w:val="99"/>
    <w:unhideWhenUsed/>
    <w:rsid w:val="00B80897"/>
    <w:rPr>
      <w:color w:val="0000FF"/>
      <w:u w:val="single"/>
    </w:rPr>
  </w:style>
  <w:style w:type="paragraph" w:styleId="BalloonText">
    <w:name w:val="Balloon Text"/>
    <w:basedOn w:val="Normal"/>
    <w:link w:val="BalloonTextChar"/>
    <w:uiPriority w:val="99"/>
    <w:semiHidden/>
    <w:unhideWhenUsed/>
    <w:rsid w:val="00B80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897"/>
    <w:rPr>
      <w:rFonts w:ascii="Tahoma" w:hAnsi="Tahoma" w:cs="Tahoma"/>
      <w:sz w:val="16"/>
      <w:szCs w:val="16"/>
      <w:lang w:val="en-US"/>
    </w:rPr>
  </w:style>
  <w:style w:type="character" w:styleId="CommentReference">
    <w:name w:val="annotation reference"/>
    <w:basedOn w:val="DefaultParagraphFont"/>
    <w:uiPriority w:val="99"/>
    <w:semiHidden/>
    <w:unhideWhenUsed/>
    <w:rsid w:val="00B80897"/>
    <w:rPr>
      <w:sz w:val="16"/>
      <w:szCs w:val="16"/>
    </w:rPr>
  </w:style>
  <w:style w:type="paragraph" w:styleId="CommentText">
    <w:name w:val="annotation text"/>
    <w:basedOn w:val="Normal"/>
    <w:link w:val="CommentTextChar"/>
    <w:uiPriority w:val="99"/>
    <w:unhideWhenUsed/>
    <w:rsid w:val="00B80897"/>
    <w:pPr>
      <w:spacing w:line="240" w:lineRule="auto"/>
    </w:pPr>
    <w:rPr>
      <w:sz w:val="20"/>
      <w:szCs w:val="20"/>
    </w:rPr>
  </w:style>
  <w:style w:type="character" w:customStyle="1" w:styleId="CommentTextChar">
    <w:name w:val="Comment Text Char"/>
    <w:basedOn w:val="DefaultParagraphFont"/>
    <w:link w:val="CommentText"/>
    <w:uiPriority w:val="99"/>
    <w:rsid w:val="00B80897"/>
    <w:rPr>
      <w:sz w:val="20"/>
      <w:szCs w:val="20"/>
      <w:lang w:val="en-US"/>
    </w:rPr>
  </w:style>
  <w:style w:type="paragraph" w:styleId="CommentSubject">
    <w:name w:val="annotation subject"/>
    <w:basedOn w:val="CommentText"/>
    <w:next w:val="CommentText"/>
    <w:link w:val="CommentSubjectChar"/>
    <w:uiPriority w:val="99"/>
    <w:semiHidden/>
    <w:unhideWhenUsed/>
    <w:rsid w:val="00B80897"/>
    <w:rPr>
      <w:b/>
      <w:bCs/>
    </w:rPr>
  </w:style>
  <w:style w:type="character" w:customStyle="1" w:styleId="CommentSubjectChar">
    <w:name w:val="Comment Subject Char"/>
    <w:basedOn w:val="CommentTextChar"/>
    <w:link w:val="CommentSubject"/>
    <w:uiPriority w:val="99"/>
    <w:semiHidden/>
    <w:rsid w:val="00B80897"/>
    <w:rPr>
      <w:b/>
      <w:bCs/>
      <w:sz w:val="20"/>
      <w:szCs w:val="20"/>
      <w:lang w:val="en-US"/>
    </w:rPr>
  </w:style>
  <w:style w:type="table" w:customStyle="1" w:styleId="ListTable1Light1">
    <w:name w:val="List Table 1 Light1"/>
    <w:basedOn w:val="TableNormal"/>
    <w:uiPriority w:val="46"/>
    <w:rsid w:val="00B8089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NormalWeb">
    <w:name w:val="Normal (Web)"/>
    <w:basedOn w:val="Normal"/>
    <w:uiPriority w:val="99"/>
    <w:unhideWhenUsed/>
    <w:rsid w:val="00B808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B80897"/>
    <w:rPr>
      <w:rFonts w:ascii="Cambria" w:eastAsia="MS Gothic" w:hAnsi="Cambria" w:cs="Times New Roman"/>
      <w:b/>
      <w:bCs/>
      <w:color w:val="4F81BD"/>
      <w:sz w:val="26"/>
      <w:szCs w:val="26"/>
    </w:rPr>
  </w:style>
  <w:style w:type="character" w:customStyle="1" w:styleId="Heading3Char">
    <w:name w:val="Heading 3 Char"/>
    <w:basedOn w:val="DefaultParagraphFont"/>
    <w:link w:val="Heading3"/>
    <w:uiPriority w:val="9"/>
    <w:semiHidden/>
    <w:rsid w:val="00B80897"/>
    <w:rPr>
      <w:rFonts w:ascii="Cambria" w:eastAsia="MS Gothic" w:hAnsi="Cambria" w:cs="Times New Roman"/>
      <w:b/>
      <w:bCs/>
      <w:color w:val="4F81BD"/>
    </w:rPr>
  </w:style>
  <w:style w:type="paragraph" w:customStyle="1" w:styleId="15TableRowColHeader">
    <w:name w:val="15Table Row/Col Header"/>
    <w:link w:val="15TableRowColHeaderChar"/>
    <w:uiPriority w:val="16"/>
    <w:qFormat/>
    <w:rsid w:val="00B80897"/>
    <w:pPr>
      <w:spacing w:before="120" w:after="120" w:line="480" w:lineRule="auto"/>
      <w:jc w:val="center"/>
    </w:pPr>
    <w:rPr>
      <w:rFonts w:ascii="Times New Roman" w:eastAsia="MS Mincho" w:hAnsi="Times New Roman" w:cs="Times New Roman"/>
      <w:b/>
      <w:lang w:val="en-US"/>
    </w:rPr>
  </w:style>
  <w:style w:type="paragraph" w:customStyle="1" w:styleId="18TableEntries11pt">
    <w:name w:val="18Table Entries 11 pt"/>
    <w:link w:val="18TableEntries11ptChar"/>
    <w:uiPriority w:val="18"/>
    <w:qFormat/>
    <w:rsid w:val="00B80897"/>
    <w:pPr>
      <w:spacing w:before="120" w:after="120" w:line="480" w:lineRule="auto"/>
      <w:jc w:val="center"/>
    </w:pPr>
    <w:rPr>
      <w:rFonts w:ascii="Times New Roman" w:eastAsia="MS Mincho" w:hAnsi="Times New Roman" w:cs="Times New Roman"/>
      <w:lang w:val="en-US"/>
    </w:rPr>
  </w:style>
  <w:style w:type="paragraph" w:customStyle="1" w:styleId="20TableFootnote">
    <w:name w:val="20Table Footnote"/>
    <w:link w:val="20TableFootnoteChar"/>
    <w:rsid w:val="00B80897"/>
    <w:pPr>
      <w:spacing w:before="60" w:after="60" w:line="480" w:lineRule="auto"/>
    </w:pPr>
    <w:rPr>
      <w:rFonts w:ascii="Times New Roman" w:eastAsia="MS Mincho" w:hAnsi="Times New Roman" w:cs="Times New Roman"/>
      <w:sz w:val="20"/>
      <w:szCs w:val="20"/>
      <w:lang w:val="en-US"/>
    </w:rPr>
  </w:style>
  <w:style w:type="character" w:customStyle="1" w:styleId="18TableEntries11ptChar">
    <w:name w:val="18Table Entries 11 pt Char"/>
    <w:link w:val="18TableEntries11pt"/>
    <w:uiPriority w:val="18"/>
    <w:rsid w:val="00B80897"/>
    <w:rPr>
      <w:rFonts w:ascii="Times New Roman" w:eastAsia="MS Mincho" w:hAnsi="Times New Roman" w:cs="Times New Roman"/>
      <w:lang w:val="en-US"/>
    </w:rPr>
  </w:style>
  <w:style w:type="character" w:customStyle="1" w:styleId="15TableRowColHeaderChar">
    <w:name w:val="15Table Row/Col Header Char"/>
    <w:link w:val="15TableRowColHeader"/>
    <w:uiPriority w:val="16"/>
    <w:rsid w:val="00B80897"/>
    <w:rPr>
      <w:rFonts w:ascii="Times New Roman" w:eastAsia="MS Mincho" w:hAnsi="Times New Roman" w:cs="Times New Roman"/>
      <w:b/>
      <w:lang w:val="en-US"/>
    </w:rPr>
  </w:style>
  <w:style w:type="character" w:customStyle="1" w:styleId="20TableFootnoteChar">
    <w:name w:val="20Table Footnote Char"/>
    <w:link w:val="20TableFootnote"/>
    <w:rsid w:val="00B80897"/>
    <w:rPr>
      <w:rFonts w:ascii="Times New Roman" w:eastAsia="MS Mincho" w:hAnsi="Times New Roman" w:cs="Times New Roman"/>
      <w:sz w:val="20"/>
      <w:szCs w:val="20"/>
      <w:lang w:val="en-US"/>
    </w:rPr>
  </w:style>
  <w:style w:type="paragraph" w:customStyle="1" w:styleId="00Paragraph">
    <w:name w:val="00Paragraph"/>
    <w:link w:val="00ParagraphChar"/>
    <w:rsid w:val="00B80897"/>
    <w:pPr>
      <w:spacing w:before="120" w:after="120" w:line="300" w:lineRule="atLeast"/>
    </w:pPr>
    <w:rPr>
      <w:rFonts w:ascii="Times New Roman" w:eastAsia="MS Mincho" w:hAnsi="Times New Roman" w:cs="Times New Roman"/>
      <w:sz w:val="24"/>
      <w:szCs w:val="24"/>
      <w:lang w:val="en-US"/>
    </w:rPr>
  </w:style>
  <w:style w:type="character" w:customStyle="1" w:styleId="00ParagraphChar">
    <w:name w:val="00Paragraph Char"/>
    <w:link w:val="00Paragraph"/>
    <w:rsid w:val="00B80897"/>
    <w:rPr>
      <w:rFonts w:ascii="Times New Roman" w:eastAsia="MS Mincho" w:hAnsi="Times New Roman" w:cs="Times New Roman"/>
      <w:sz w:val="24"/>
      <w:szCs w:val="24"/>
      <w:lang w:val="en-US"/>
    </w:rPr>
  </w:style>
  <w:style w:type="character" w:styleId="LineNumber">
    <w:name w:val="line number"/>
    <w:basedOn w:val="DefaultParagraphFont"/>
    <w:uiPriority w:val="99"/>
    <w:semiHidden/>
    <w:unhideWhenUsed/>
    <w:rsid w:val="00B80897"/>
  </w:style>
  <w:style w:type="paragraph" w:customStyle="1" w:styleId="EndNoteBibliographyTitle">
    <w:name w:val="EndNote Bibliography Title"/>
    <w:basedOn w:val="Normal"/>
    <w:link w:val="EndNoteBibliographyTitleChar"/>
    <w:rsid w:val="00B80897"/>
    <w:pPr>
      <w:spacing w:after="0"/>
      <w:jc w:val="center"/>
    </w:pPr>
    <w:rPr>
      <w:rFonts w:ascii="Arial" w:hAnsi="Arial" w:cs="Arial"/>
      <w:noProof/>
    </w:rPr>
  </w:style>
  <w:style w:type="character" w:customStyle="1" w:styleId="EndNoteBibliographyTitleChar">
    <w:name w:val="EndNote Bibliography Title Char"/>
    <w:basedOn w:val="DefaultParagraphFont"/>
    <w:link w:val="EndNoteBibliographyTitle"/>
    <w:rsid w:val="00B80897"/>
    <w:rPr>
      <w:rFonts w:ascii="Arial" w:hAnsi="Arial" w:cs="Arial"/>
      <w:noProof/>
      <w:lang w:val="en-US"/>
    </w:rPr>
  </w:style>
  <w:style w:type="paragraph" w:customStyle="1" w:styleId="EndNoteBibliography">
    <w:name w:val="EndNote Bibliography"/>
    <w:basedOn w:val="Normal"/>
    <w:link w:val="EndNoteBibliographyChar"/>
    <w:rsid w:val="00B80897"/>
    <w:rPr>
      <w:rFonts w:ascii="Arial" w:hAnsi="Arial" w:cs="Arial"/>
      <w:noProof/>
    </w:rPr>
  </w:style>
  <w:style w:type="character" w:customStyle="1" w:styleId="EndNoteBibliographyChar">
    <w:name w:val="EndNote Bibliography Char"/>
    <w:basedOn w:val="DefaultParagraphFont"/>
    <w:link w:val="EndNoteBibliography"/>
    <w:rsid w:val="00B80897"/>
    <w:rPr>
      <w:rFonts w:ascii="Arial" w:hAnsi="Arial" w:cs="Arial"/>
      <w:noProof/>
      <w:lang w:val="en-US"/>
    </w:rPr>
  </w:style>
  <w:style w:type="paragraph" w:styleId="ListParagraph">
    <w:name w:val="List Paragraph"/>
    <w:basedOn w:val="Normal"/>
    <w:uiPriority w:val="34"/>
    <w:qFormat/>
    <w:rsid w:val="00B80897"/>
    <w:pPr>
      <w:ind w:left="720"/>
      <w:contextualSpacing/>
    </w:pPr>
  </w:style>
  <w:style w:type="paragraph" w:styleId="Revision">
    <w:name w:val="Revision"/>
    <w:hidden/>
    <w:uiPriority w:val="99"/>
    <w:semiHidden/>
    <w:rsid w:val="00B80897"/>
    <w:pPr>
      <w:spacing w:after="0" w:line="240" w:lineRule="auto"/>
    </w:pPr>
    <w:rPr>
      <w:lang w:val="en-US"/>
    </w:rPr>
  </w:style>
  <w:style w:type="paragraph" w:customStyle="1" w:styleId="Standard">
    <w:name w:val="Standard"/>
    <w:qFormat/>
    <w:rsid w:val="00B80897"/>
    <w:pPr>
      <w:spacing w:after="200" w:line="276" w:lineRule="auto"/>
    </w:pPr>
    <w:rPr>
      <w:rFonts w:ascii="Calibri" w:eastAsia="Calibri" w:hAnsi="Calibri" w:cs="Times New Roman"/>
      <w:lang w:val="de-DE"/>
    </w:rPr>
  </w:style>
  <w:style w:type="paragraph" w:customStyle="1" w:styleId="Figure1">
    <w:name w:val="Figure1"/>
    <w:basedOn w:val="Normal"/>
    <w:qFormat/>
    <w:rsid w:val="00B80897"/>
    <w:pPr>
      <w:spacing w:after="0" w:line="276" w:lineRule="auto"/>
    </w:pPr>
    <w:rPr>
      <w:rFonts w:ascii="Calibri" w:hAnsi="Calibri" w:cs="Times New Roman"/>
      <w:sz w:val="20"/>
      <w:lang w:val="en-GB"/>
    </w:rPr>
  </w:style>
  <w:style w:type="table" w:customStyle="1" w:styleId="TableGrid1">
    <w:name w:val="Table Grid1"/>
    <w:basedOn w:val="TableNormal"/>
    <w:next w:val="TableGrid"/>
    <w:uiPriority w:val="59"/>
    <w:rsid w:val="00B808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1">
    <w:name w:val="Plain Table 21"/>
    <w:basedOn w:val="TableNormal"/>
    <w:uiPriority w:val="42"/>
    <w:rsid w:val="00B80897"/>
    <w:pPr>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Light11">
    <w:name w:val="Table Grid Light11"/>
    <w:basedOn w:val="TableNormal"/>
    <w:uiPriority w:val="40"/>
    <w:rsid w:val="00B80897"/>
    <w:pPr>
      <w:spacing w:after="0" w:line="240" w:lineRule="auto"/>
    </w:pPr>
    <w:rPr>
      <w:lang w:val="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Emphasis">
    <w:name w:val="Emphasis"/>
    <w:basedOn w:val="DefaultParagraphFont"/>
    <w:uiPriority w:val="20"/>
    <w:qFormat/>
    <w:rsid w:val="00B80897"/>
    <w:rPr>
      <w:i/>
      <w:iCs/>
    </w:rPr>
  </w:style>
  <w:style w:type="paragraph" w:styleId="DocumentMap">
    <w:name w:val="Document Map"/>
    <w:basedOn w:val="Normal"/>
    <w:link w:val="DocumentMapChar"/>
    <w:uiPriority w:val="99"/>
    <w:semiHidden/>
    <w:unhideWhenUsed/>
    <w:rsid w:val="00B80897"/>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B80897"/>
    <w:rPr>
      <w:rFonts w:ascii="Times New Roman" w:hAnsi="Times New Roman" w:cs="Times New Roman"/>
      <w:sz w:val="24"/>
      <w:szCs w:val="24"/>
      <w:lang w:val="en-US"/>
    </w:rPr>
  </w:style>
  <w:style w:type="character" w:styleId="Hyperlink">
    <w:name w:val="Hyperlink"/>
    <w:basedOn w:val="DefaultParagraphFont"/>
    <w:uiPriority w:val="99"/>
    <w:semiHidden/>
    <w:unhideWhenUsed/>
    <w:rsid w:val="00B80897"/>
    <w:rPr>
      <w:color w:val="0563C1" w:themeColor="hyperlink"/>
      <w:u w:val="single"/>
    </w:rPr>
  </w:style>
  <w:style w:type="character" w:customStyle="1" w:styleId="Heading2Char1">
    <w:name w:val="Heading 2 Char1"/>
    <w:basedOn w:val="DefaultParagraphFont"/>
    <w:uiPriority w:val="9"/>
    <w:semiHidden/>
    <w:rsid w:val="00B80897"/>
    <w:rPr>
      <w:rFonts w:asciiTheme="majorHAnsi" w:eastAsiaTheme="majorEastAsia" w:hAnsiTheme="majorHAnsi" w:cstheme="majorBidi"/>
      <w:color w:val="2E74B5" w:themeColor="accent1" w:themeShade="BF"/>
      <w:sz w:val="26"/>
      <w:szCs w:val="26"/>
      <w:lang w:val="en-US"/>
    </w:rPr>
  </w:style>
  <w:style w:type="character" w:customStyle="1" w:styleId="Heading3Char1">
    <w:name w:val="Heading 3 Char1"/>
    <w:basedOn w:val="DefaultParagraphFont"/>
    <w:uiPriority w:val="9"/>
    <w:semiHidden/>
    <w:rsid w:val="00B80897"/>
    <w:rPr>
      <w:rFonts w:asciiTheme="majorHAnsi" w:eastAsiaTheme="majorEastAsia" w:hAnsiTheme="majorHAnsi" w:cstheme="majorBidi"/>
      <w:color w:val="1F4D78" w:themeColor="accent1" w:themeShade="7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if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3088</Words>
  <Characters>17608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Barrie</dc:creator>
  <cp:lastModifiedBy>jirawatb</cp:lastModifiedBy>
  <cp:revision>2</cp:revision>
  <dcterms:created xsi:type="dcterms:W3CDTF">2018-12-09T15:36:00Z</dcterms:created>
  <dcterms:modified xsi:type="dcterms:W3CDTF">2018-12-09T15:36:00Z</dcterms:modified>
</cp:coreProperties>
</file>