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3F86B1" w14:textId="77777777" w:rsidR="003B3A8F" w:rsidRPr="000F4081" w:rsidRDefault="003B3A8F" w:rsidP="003B3A8F">
      <w:pPr>
        <w:jc w:val="center"/>
        <w:rPr>
          <w:rFonts w:cs="Times New Roman"/>
          <w:b/>
          <w:sz w:val="24"/>
          <w:szCs w:val="24"/>
        </w:rPr>
      </w:pPr>
      <w:r w:rsidRPr="000F4081">
        <w:rPr>
          <w:rFonts w:cs="Times New Roman"/>
          <w:b/>
          <w:sz w:val="24"/>
          <w:szCs w:val="24"/>
        </w:rPr>
        <w:t>Practice Patterns and Outcomes Associated with Procalcitonin Use in Critically Ill Patients with Sepsis</w:t>
      </w:r>
    </w:p>
    <w:p w14:paraId="691F1E79" w14:textId="77777777" w:rsidR="00F371DF" w:rsidRDefault="003B3A8F" w:rsidP="003B3A8F">
      <w:pPr>
        <w:spacing w:after="0" w:line="480" w:lineRule="auto"/>
        <w:jc w:val="center"/>
        <w:rPr>
          <w:sz w:val="24"/>
          <w:szCs w:val="24"/>
        </w:rPr>
      </w:pPr>
      <w:r>
        <w:rPr>
          <w:b/>
          <w:sz w:val="24"/>
          <w:szCs w:val="24"/>
        </w:rPr>
        <w:t>Online Supplement</w:t>
      </w:r>
    </w:p>
    <w:p w14:paraId="70643F6C" w14:textId="10125503" w:rsidR="0011715A" w:rsidRDefault="0011715A" w:rsidP="003B3A8F">
      <w:pPr>
        <w:pStyle w:val="ListParagraph"/>
        <w:numPr>
          <w:ilvl w:val="0"/>
          <w:numId w:val="1"/>
        </w:numPr>
        <w:spacing w:after="0" w:line="480" w:lineRule="auto"/>
        <w:jc w:val="both"/>
        <w:rPr>
          <w:sz w:val="24"/>
          <w:szCs w:val="24"/>
        </w:rPr>
      </w:pPr>
      <w:r>
        <w:rPr>
          <w:sz w:val="24"/>
          <w:szCs w:val="24"/>
        </w:rPr>
        <w:t>Supplemental Methods</w:t>
      </w:r>
    </w:p>
    <w:p w14:paraId="69E0F08E" w14:textId="0A3D7D39" w:rsidR="003B3A8F" w:rsidRDefault="003B3A8F" w:rsidP="003B3A8F">
      <w:pPr>
        <w:pStyle w:val="ListParagraph"/>
        <w:numPr>
          <w:ilvl w:val="0"/>
          <w:numId w:val="1"/>
        </w:numPr>
        <w:spacing w:after="0" w:line="480" w:lineRule="auto"/>
        <w:jc w:val="both"/>
        <w:rPr>
          <w:sz w:val="24"/>
          <w:szCs w:val="24"/>
        </w:rPr>
      </w:pPr>
      <w:r>
        <w:rPr>
          <w:sz w:val="24"/>
          <w:szCs w:val="24"/>
        </w:rPr>
        <w:t>Supplemental Table 1: ICD9-CM diagnosis codes used to identify sepsis, comorbid conditions, acute organ failures, and site of infection. ICD9-CM – International Classification of Disease-9</w:t>
      </w:r>
      <w:r w:rsidRPr="003B3A8F">
        <w:rPr>
          <w:sz w:val="24"/>
          <w:szCs w:val="24"/>
          <w:vertAlign w:val="superscript"/>
        </w:rPr>
        <w:t>th</w:t>
      </w:r>
      <w:r>
        <w:rPr>
          <w:sz w:val="24"/>
          <w:szCs w:val="24"/>
        </w:rPr>
        <w:t xml:space="preserve"> Edition-Clinical Modification</w:t>
      </w:r>
    </w:p>
    <w:p w14:paraId="73F9B724" w14:textId="6F6FBFE9" w:rsidR="0011715A" w:rsidRDefault="0011715A" w:rsidP="003B3A8F">
      <w:pPr>
        <w:pStyle w:val="ListParagraph"/>
        <w:numPr>
          <w:ilvl w:val="0"/>
          <w:numId w:val="1"/>
        </w:numPr>
        <w:spacing w:after="0" w:line="480" w:lineRule="auto"/>
        <w:jc w:val="both"/>
        <w:rPr>
          <w:sz w:val="24"/>
          <w:szCs w:val="24"/>
        </w:rPr>
      </w:pPr>
      <w:r>
        <w:rPr>
          <w:sz w:val="24"/>
          <w:szCs w:val="24"/>
        </w:rPr>
        <w:t xml:space="preserve">Supplemental Table 2: </w:t>
      </w:r>
      <w:r w:rsidR="00F77748">
        <w:rPr>
          <w:sz w:val="24"/>
          <w:szCs w:val="24"/>
        </w:rPr>
        <w:t>Association Between Procalcitonin and Outcomes by Infection Site</w:t>
      </w:r>
    </w:p>
    <w:p w14:paraId="1AA0F872" w14:textId="32CE0120" w:rsidR="004766D6" w:rsidRDefault="004766D6" w:rsidP="003B3A8F">
      <w:pPr>
        <w:pStyle w:val="ListParagraph"/>
        <w:numPr>
          <w:ilvl w:val="0"/>
          <w:numId w:val="1"/>
        </w:numPr>
        <w:spacing w:after="0" w:line="480" w:lineRule="auto"/>
        <w:jc w:val="both"/>
        <w:rPr>
          <w:sz w:val="24"/>
          <w:szCs w:val="24"/>
        </w:rPr>
      </w:pPr>
      <w:r>
        <w:rPr>
          <w:sz w:val="24"/>
          <w:szCs w:val="24"/>
        </w:rPr>
        <w:t>Supplemental Figure 1: Histogram of Procalcitonin Order Distribution</w:t>
      </w:r>
    </w:p>
    <w:p w14:paraId="0435D339" w14:textId="77777777" w:rsidR="0011715A" w:rsidRDefault="0011715A" w:rsidP="0011715A">
      <w:pPr>
        <w:spacing w:after="0" w:line="480" w:lineRule="auto"/>
        <w:jc w:val="both"/>
      </w:pPr>
    </w:p>
    <w:p w14:paraId="11006E23" w14:textId="77777777" w:rsidR="0011715A" w:rsidRDefault="0011715A">
      <w:r>
        <w:br w:type="page"/>
      </w:r>
    </w:p>
    <w:p w14:paraId="240E052A" w14:textId="2AA0B5F6" w:rsidR="0011715A" w:rsidRDefault="0011715A" w:rsidP="0011715A">
      <w:pPr>
        <w:spacing w:after="0" w:line="480" w:lineRule="auto"/>
        <w:jc w:val="both"/>
        <w:rPr>
          <w:sz w:val="24"/>
          <w:szCs w:val="24"/>
        </w:rPr>
      </w:pPr>
      <w:r>
        <w:rPr>
          <w:b/>
          <w:sz w:val="24"/>
          <w:szCs w:val="24"/>
        </w:rPr>
        <w:lastRenderedPageBreak/>
        <w:t>Supplemental Methods</w:t>
      </w:r>
    </w:p>
    <w:p w14:paraId="42F04549" w14:textId="00AF5E09" w:rsidR="0011715A" w:rsidRPr="000F4081" w:rsidRDefault="0011715A" w:rsidP="0011715A">
      <w:pPr>
        <w:spacing w:after="0" w:line="480" w:lineRule="auto"/>
        <w:ind w:firstLine="720"/>
        <w:rPr>
          <w:sz w:val="24"/>
          <w:szCs w:val="24"/>
        </w:rPr>
      </w:pPr>
      <w:r>
        <w:rPr>
          <w:sz w:val="24"/>
          <w:szCs w:val="24"/>
        </w:rPr>
        <w:t>We performed a number of sensitivity analyses to re-evaluate the results of our primary analysis. First</w:t>
      </w:r>
      <w:r w:rsidRPr="000F4081">
        <w:rPr>
          <w:sz w:val="24"/>
          <w:szCs w:val="24"/>
        </w:rPr>
        <w:t xml:space="preserve">, we </w:t>
      </w:r>
      <w:r>
        <w:rPr>
          <w:sz w:val="24"/>
          <w:szCs w:val="24"/>
        </w:rPr>
        <w:t>evaluated multivariable-adjusted associations between PCT use and outcomes in the full cohort of hospitals, including hospitals not using PCT in any patients. Second, we evaluated the association between PCT use and antibiotic DOT without length of stay as a covariate, to assess for the possibility that length of stay may act as an intermediary between PCT use and antibiotic DOT. Third, to account for the possibility that hospitals that utilized PCT in 2012 may not have had access to PCT testing for the entire calendar year of 2012 or were less familiar with its use, we examined the subgroup of hospitals that had previously utilized PCT in 2011 and continued use into 2012. Fourth</w:t>
      </w:r>
      <w:r w:rsidRPr="000F4081">
        <w:rPr>
          <w:sz w:val="24"/>
          <w:szCs w:val="24"/>
        </w:rPr>
        <w:t xml:space="preserve">, as a surrogate marker for hospitals that may have algorithms regarding use of </w:t>
      </w:r>
      <w:r>
        <w:rPr>
          <w:sz w:val="24"/>
          <w:szCs w:val="24"/>
        </w:rPr>
        <w:t>PCT</w:t>
      </w:r>
      <w:r w:rsidRPr="000F4081">
        <w:rPr>
          <w:sz w:val="24"/>
          <w:szCs w:val="24"/>
        </w:rPr>
        <w:t xml:space="preserve"> and early cessation of antibiotics</w:t>
      </w:r>
      <w:r>
        <w:rPr>
          <w:sz w:val="24"/>
          <w:szCs w:val="24"/>
        </w:rPr>
        <w:t>,</w:t>
      </w:r>
      <w:r w:rsidRPr="000F4081">
        <w:rPr>
          <w:sz w:val="24"/>
          <w:szCs w:val="24"/>
        </w:rPr>
        <w:t xml:space="preserve"> we analyzed hospitals where </w:t>
      </w:r>
      <w:r>
        <w:rPr>
          <w:sz w:val="24"/>
          <w:szCs w:val="24"/>
        </w:rPr>
        <w:t xml:space="preserve">PCT </w:t>
      </w:r>
      <w:r w:rsidRPr="000F4081">
        <w:rPr>
          <w:sz w:val="24"/>
          <w:szCs w:val="24"/>
        </w:rPr>
        <w:t xml:space="preserve">was checked </w:t>
      </w:r>
      <w:r>
        <w:rPr>
          <w:sz w:val="24"/>
          <w:szCs w:val="24"/>
        </w:rPr>
        <w:t>sequentially</w:t>
      </w:r>
      <w:r w:rsidRPr="000F4081">
        <w:rPr>
          <w:sz w:val="24"/>
          <w:szCs w:val="24"/>
        </w:rPr>
        <w:t xml:space="preserve"> in at least 1 patient.</w:t>
      </w:r>
      <w:r>
        <w:rPr>
          <w:sz w:val="24"/>
          <w:szCs w:val="24"/>
        </w:rPr>
        <w:t xml:space="preserve"> Additionally, we included hospital-level serial PCT rates as a primary exposure variable in a model with patient level outcomes and covariates, with mortality assessed as in the primary analysis using a time-varying PCT order in a Cox proportional hazards model.</w:t>
      </w:r>
      <w:r w:rsidRPr="000F4081">
        <w:rPr>
          <w:sz w:val="24"/>
          <w:szCs w:val="24"/>
        </w:rPr>
        <w:t xml:space="preserve"> </w:t>
      </w:r>
      <w:r>
        <w:rPr>
          <w:sz w:val="24"/>
          <w:szCs w:val="24"/>
        </w:rPr>
        <w:t>Fifth, to determine if there was a subgroup of patients with a specific site of infection that may have benefitted from PCT use, we analyzed for potential interactions between PCT use, site of infection, and outcomes of interest. Sixth, in order to attenuate unmeasured, patient-level confounding by indication for PCT testing, we performed three analyses using hospital-level PCT utilization as an ecological instrumental variable</w:t>
      </w:r>
      <w:r>
        <w:rPr>
          <w:sz w:val="24"/>
          <w:szCs w:val="24"/>
        </w:rPr>
        <w:fldChar w:fldCharType="begin">
          <w:fldData xml:space="preserve">PEVuZE5vdGU+PENpdGU+PEF1dGhvcj5Kb2huc3RvbjwvQXV0aG9yPjxZZWFyPjIwMDI8L1llYXI+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</w:fldData>
        </w:fldChar>
      </w:r>
      <w:r>
        <w:rPr>
          <w:sz w:val="24"/>
          <w:szCs w:val="24"/>
        </w:rPr>
        <w:instrText xml:space="preserve"> ADDIN EN.CITE </w:instrText>
      </w:r>
      <w:r>
        <w:rPr>
          <w:sz w:val="24"/>
          <w:szCs w:val="24"/>
        </w:rPr>
        <w:fldChar w:fldCharType="begin">
          <w:fldData xml:space="preserve">PEVuZE5vdGU+PENpdGU+PEF1dGhvcj5Kb2huc3RvbjwvQXV0aG9yPjxZZWFyPjIwMDI8L1llYXI+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</w:fldData>
        </w:fldChar>
      </w:r>
      <w:r>
        <w:rPr>
          <w:sz w:val="24"/>
          <w:szCs w:val="24"/>
        </w:rPr>
        <w:instrText xml:space="preserve"> ADDIN EN.CITE.DATA </w:instrText>
      </w:r>
      <w:r>
        <w:rPr>
          <w:sz w:val="24"/>
          <w:szCs w:val="24"/>
        </w:rPr>
      </w:r>
      <w:r>
        <w:rPr>
          <w:sz w:val="24"/>
          <w:szCs w:val="24"/>
        </w:rPr>
        <w:fldChar w:fldCharType="end"/>
      </w:r>
      <w:r>
        <w:rPr>
          <w:sz w:val="24"/>
          <w:szCs w:val="24"/>
        </w:rPr>
      </w:r>
      <w:r>
        <w:rPr>
          <w:sz w:val="24"/>
          <w:szCs w:val="24"/>
        </w:rPr>
        <w:fldChar w:fldCharType="separate"/>
      </w:r>
      <w:r>
        <w:rPr>
          <w:noProof/>
          <w:sz w:val="24"/>
          <w:szCs w:val="24"/>
        </w:rPr>
        <w:t>[30-33]</w:t>
      </w:r>
      <w:r>
        <w:rPr>
          <w:sz w:val="24"/>
          <w:szCs w:val="24"/>
        </w:rPr>
        <w:fldChar w:fldCharType="end"/>
      </w:r>
      <w:r>
        <w:rPr>
          <w:sz w:val="24"/>
          <w:szCs w:val="24"/>
        </w:rPr>
        <w:t>. Use of hospital-level PCT</w:t>
      </w:r>
      <w:r w:rsidRPr="000F4081">
        <w:rPr>
          <w:sz w:val="24"/>
          <w:szCs w:val="24"/>
        </w:rPr>
        <w:t xml:space="preserve"> </w:t>
      </w:r>
      <w:r>
        <w:rPr>
          <w:sz w:val="24"/>
          <w:szCs w:val="24"/>
        </w:rPr>
        <w:t xml:space="preserve">rates as a measure of PCT exposure in models using patient-level outcomes and covariates provides advantages of a) reduced confounding by indication from individual treatment decisions and b) avoidance of the </w:t>
      </w:r>
      <w:r>
        <w:rPr>
          <w:sz w:val="24"/>
          <w:szCs w:val="24"/>
        </w:rPr>
        <w:lastRenderedPageBreak/>
        <w:t>“ecological fallacy” that may occur from using hospital-level exposures and outcomes. We conducted three analyses using hospital-level PCT rates: 1) we used hospital-level PCT rates as our primary exposure variable in a model with patient-level outcomes and covariates; 2) we included hospital-level PCT</w:t>
      </w:r>
      <w:r w:rsidRPr="000F4081">
        <w:rPr>
          <w:sz w:val="24"/>
          <w:szCs w:val="24"/>
        </w:rPr>
        <w:t xml:space="preserve"> </w:t>
      </w:r>
      <w:r>
        <w:rPr>
          <w:sz w:val="24"/>
          <w:szCs w:val="24"/>
        </w:rPr>
        <w:t>availability (any hospital PCT use) as our primary exposure variable in a model with patient-level outcomes and covariates; 3) we assessed Spearman correlation of hospital-level PCT rates with risk-adjusted hospital outcomes derived from the random effects output of hierarchical regression models</w:t>
      </w:r>
      <w:r>
        <w:rPr>
          <w:sz w:val="24"/>
          <w:szCs w:val="24"/>
        </w:rPr>
        <w:fldChar w:fldCharType="begin">
          <w:fldData xml:space="preserve">PEVuZE5vdGU+PENpdGU+PEF1dGhvcj5NZWh0YTwvQXV0aG9yPjxZZWFyPjIwMTU8L1llYXI+PFJl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</w:fldData>
        </w:fldChar>
      </w:r>
      <w:r>
        <w:rPr>
          <w:sz w:val="24"/>
          <w:szCs w:val="24"/>
        </w:rPr>
        <w:instrText xml:space="preserve"> ADDIN EN.CITE </w:instrText>
      </w:r>
      <w:r>
        <w:rPr>
          <w:sz w:val="24"/>
          <w:szCs w:val="24"/>
        </w:rPr>
        <w:fldChar w:fldCharType="begin">
          <w:fldData xml:space="preserve">PEVuZE5vdGU+PENpdGU+PEF1dGhvcj5NZWh0YTwvQXV0aG9yPjxZZWFyPjIwMTU8L1llYXI+PFJl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</w:fldData>
        </w:fldChar>
      </w:r>
      <w:r>
        <w:rPr>
          <w:sz w:val="24"/>
          <w:szCs w:val="24"/>
        </w:rPr>
        <w:instrText xml:space="preserve"> ADDIN EN.CITE.DATA </w:instrText>
      </w:r>
      <w:r>
        <w:rPr>
          <w:sz w:val="24"/>
          <w:szCs w:val="24"/>
        </w:rPr>
      </w:r>
      <w:r>
        <w:rPr>
          <w:sz w:val="24"/>
          <w:szCs w:val="24"/>
        </w:rPr>
        <w:fldChar w:fldCharType="end"/>
      </w:r>
      <w:r>
        <w:rPr>
          <w:sz w:val="24"/>
          <w:szCs w:val="24"/>
        </w:rPr>
      </w:r>
      <w:r>
        <w:rPr>
          <w:sz w:val="24"/>
          <w:szCs w:val="24"/>
        </w:rPr>
        <w:fldChar w:fldCharType="separate"/>
      </w:r>
      <w:r>
        <w:rPr>
          <w:noProof/>
          <w:sz w:val="24"/>
          <w:szCs w:val="24"/>
        </w:rPr>
        <w:t>[34]</w:t>
      </w:r>
      <w:r>
        <w:rPr>
          <w:sz w:val="24"/>
          <w:szCs w:val="24"/>
        </w:rPr>
        <w:fldChar w:fldCharType="end"/>
      </w:r>
      <w:r>
        <w:rPr>
          <w:sz w:val="24"/>
          <w:szCs w:val="24"/>
        </w:rPr>
        <w:t xml:space="preserve"> with linear regression used to visualize the relationship. In order to attenuate effects of unmeasured confounding that may have been present in patient-level analyses, and also</w:t>
      </w:r>
      <w:r w:rsidRPr="000F4081">
        <w:rPr>
          <w:sz w:val="24"/>
          <w:szCs w:val="24"/>
        </w:rPr>
        <w:t xml:space="preserve"> </w:t>
      </w:r>
      <w:r>
        <w:rPr>
          <w:sz w:val="24"/>
          <w:szCs w:val="24"/>
        </w:rPr>
        <w:t xml:space="preserve">to reduce the risk that ‘reverse causality’ might account for our results (i.e., hospitals with higher antibiotic utilization preferentially adopted PCT) </w:t>
      </w:r>
      <w:r w:rsidRPr="000F4081">
        <w:rPr>
          <w:sz w:val="24"/>
          <w:szCs w:val="24"/>
        </w:rPr>
        <w:t>we performed a difference-in-differences analysis</w:t>
      </w:r>
      <w:r>
        <w:rPr>
          <w:sz w:val="24"/>
          <w:szCs w:val="24"/>
        </w:rPr>
        <w:fldChar w:fldCharType="begin"/>
      </w:r>
      <w:r>
        <w:rPr>
          <w:sz w:val="24"/>
          <w:szCs w:val="24"/>
        </w:rPr>
        <w:instrText xml:space="preserve"> ADDIN EN.CITE &lt;EndNote&gt;&lt;Cite&gt;&lt;Author&gt;Karaca-Mandic&lt;/Author&gt;&lt;Year&gt;2012&lt;/Year&gt;&lt;RecNum&gt;121&lt;/RecNum&gt;&lt;DisplayText&gt;[35]&lt;/DisplayText&gt;&lt;record&gt;&lt;rec-number&gt;121&lt;/rec-number&gt;&lt;foreign-keys&gt;&lt;key app="EN" db-id="02d2fw0s9aspxeevd59v9ftg2azx9ewevs5z" timestamp="1457573651"&gt;121&lt;/key&gt;&lt;key app="ENWeb" db-id=""&gt;0&lt;/key&gt;&lt;/foreign-keys&gt;&lt;ref-type name="Journal Article"&gt;17&lt;/ref-type&gt;&lt;contributors&gt;&lt;authors&gt;&lt;author&gt;Karaca-Mandic, P.&lt;/author&gt;&lt;author&gt;Norton, E. C.&lt;/author&gt;&lt;author&gt;Dowd, B.&lt;/author&gt;&lt;/authors&gt;&lt;/contributors&gt;&lt;auth-address&gt;Division of Health Policy and Management, School of Public Health, University of Minnesota, Minneapolis, MN 55455, USA. pkmandic@umn.edu&lt;/auth-address&gt;&lt;titles&gt;&lt;title&gt;Interaction terms in nonlinear models&lt;/title&gt;&lt;secondary-title&gt;Health Serv Res&lt;/secondary-title&gt;&lt;/titles&gt;&lt;periodical&gt;&lt;full-title&gt;Health Serv Res&lt;/full-title&gt;&lt;/periodical&gt;&lt;pages&gt;255-74&lt;/pages&gt;&lt;volume&gt;47&lt;/volume&gt;&lt;number&gt;1 Pt 1&lt;/number&gt;&lt;keywords&gt;&lt;keyword&gt;Age Factors&lt;/keyword&gt;&lt;keyword&gt;Data Interpretation, Statistical&lt;/keyword&gt;&lt;keyword&gt;Female&lt;/keyword&gt;&lt;keyword&gt;Humans&lt;/keyword&gt;&lt;keyword&gt;Male&lt;/keyword&gt;&lt;keyword&gt;*Multivariate Analysis&lt;/keyword&gt;&lt;keyword&gt;*Nonlinear Dynamics&lt;/keyword&gt;&lt;keyword&gt;Odds Ratio&lt;/keyword&gt;&lt;keyword&gt;Probability&lt;/keyword&gt;&lt;keyword&gt;Sex Factors&lt;/keyword&gt;&lt;/keywords&gt;&lt;dates&gt;&lt;year&gt;2012&lt;/year&gt;&lt;pub-dates&gt;&lt;date&gt;Feb&lt;/date&gt;&lt;/pub-dates&gt;&lt;/dates&gt;&lt;isbn&gt;1475-6773 (Electronic)&amp;#xD;0017-9124 (Linking)&lt;/isbn&gt;&lt;accession-num&gt;22091735&lt;/accession-num&gt;&lt;urls&gt;&lt;related-urls&gt;&lt;url&gt;http://www.ncbi.nlm.nih.gov/pubmed/22091735&lt;/url&gt;&lt;/related-urls&gt;&lt;/urls&gt;&lt;custom2&gt;PMC3447245&lt;/custom2&gt;&lt;electronic-resource-num&gt;10.1111/j.1475-6773.2011.01314.x&lt;/electronic-resource-num&gt;&lt;/record&gt;&lt;/Cite&gt;&lt;/EndNote&gt;</w:instrText>
      </w:r>
      <w:r>
        <w:rPr>
          <w:sz w:val="24"/>
          <w:szCs w:val="24"/>
        </w:rPr>
        <w:fldChar w:fldCharType="separate"/>
      </w:r>
      <w:r>
        <w:rPr>
          <w:noProof/>
          <w:sz w:val="24"/>
          <w:szCs w:val="24"/>
        </w:rPr>
        <w:t>[35]</w:t>
      </w:r>
      <w:r>
        <w:rPr>
          <w:sz w:val="24"/>
          <w:szCs w:val="24"/>
        </w:rPr>
        <w:fldChar w:fldCharType="end"/>
      </w:r>
      <w:r>
        <w:rPr>
          <w:sz w:val="24"/>
          <w:szCs w:val="24"/>
        </w:rPr>
        <w:t xml:space="preserve"> (planned </w:t>
      </w:r>
      <w:r>
        <w:rPr>
          <w:i/>
          <w:sz w:val="24"/>
          <w:szCs w:val="24"/>
        </w:rPr>
        <w:t>a posteriori</w:t>
      </w:r>
      <w:r>
        <w:rPr>
          <w:sz w:val="24"/>
          <w:szCs w:val="24"/>
        </w:rPr>
        <w:t>) to compare</w:t>
      </w:r>
      <w:r w:rsidRPr="000F4081">
        <w:rPr>
          <w:sz w:val="24"/>
          <w:szCs w:val="24"/>
        </w:rPr>
        <w:t xml:space="preserve"> </w:t>
      </w:r>
      <w:r>
        <w:rPr>
          <w:sz w:val="24"/>
          <w:szCs w:val="24"/>
        </w:rPr>
        <w:t xml:space="preserve">changes in outcomes between </w:t>
      </w:r>
      <w:r w:rsidRPr="000F4081">
        <w:rPr>
          <w:sz w:val="24"/>
          <w:szCs w:val="24"/>
        </w:rPr>
        <w:t xml:space="preserve">hospitals who did not use </w:t>
      </w:r>
      <w:r>
        <w:rPr>
          <w:sz w:val="24"/>
          <w:szCs w:val="24"/>
        </w:rPr>
        <w:t>PCT</w:t>
      </w:r>
      <w:r w:rsidRPr="000F4081">
        <w:rPr>
          <w:sz w:val="24"/>
          <w:szCs w:val="24"/>
        </w:rPr>
        <w:t xml:space="preserve"> in 2011 and 2012 to hospitals that did not use </w:t>
      </w:r>
      <w:r>
        <w:rPr>
          <w:sz w:val="24"/>
          <w:szCs w:val="24"/>
        </w:rPr>
        <w:t>PCT</w:t>
      </w:r>
      <w:r w:rsidRPr="000F4081">
        <w:rPr>
          <w:sz w:val="24"/>
          <w:szCs w:val="24"/>
        </w:rPr>
        <w:t xml:space="preserve"> in 2011, but </w:t>
      </w:r>
      <w:r>
        <w:rPr>
          <w:sz w:val="24"/>
          <w:szCs w:val="24"/>
        </w:rPr>
        <w:t>adopted PCT</w:t>
      </w:r>
      <w:r w:rsidRPr="000F4081">
        <w:rPr>
          <w:sz w:val="24"/>
          <w:szCs w:val="24"/>
        </w:rPr>
        <w:t xml:space="preserve"> in 2012.</w:t>
      </w:r>
    </w:p>
    <w:p w14:paraId="39303813" w14:textId="77777777" w:rsidR="0011715A" w:rsidRDefault="0011715A">
      <w:pPr>
        <w:rPr>
          <w:sz w:val="24"/>
          <w:szCs w:val="24"/>
        </w:rPr>
      </w:pPr>
      <w:r>
        <w:rPr>
          <w:sz w:val="24"/>
          <w:szCs w:val="24"/>
        </w:rPr>
        <w:br w:type="page"/>
      </w:r>
    </w:p>
    <w:p w14:paraId="23CF4032" w14:textId="01A453B9" w:rsidR="00517625" w:rsidRDefault="00517625" w:rsidP="0011715A">
      <w:pPr>
        <w:spacing w:after="0" w:line="480" w:lineRule="auto"/>
        <w:jc w:val="both"/>
        <w:rPr>
          <w:sz w:val="24"/>
          <w:szCs w:val="24"/>
        </w:rPr>
      </w:pPr>
      <w:r w:rsidRPr="0011715A">
        <w:rPr>
          <w:b/>
          <w:sz w:val="24"/>
          <w:szCs w:val="24"/>
        </w:rPr>
        <w:lastRenderedPageBreak/>
        <w:t>Supplemental Table 1:</w:t>
      </w:r>
      <w:r>
        <w:rPr>
          <w:sz w:val="24"/>
          <w:szCs w:val="24"/>
        </w:rPr>
        <w:t xml:space="preserve"> ICD9-CM diagnosis codes used to identify sepsis, comorbid conditions, acute organ failures, and site of infection. ICD9-CM – International Classification of Disease-9</w:t>
      </w:r>
      <w:r w:rsidRPr="003B3A8F">
        <w:rPr>
          <w:sz w:val="24"/>
          <w:szCs w:val="24"/>
          <w:vertAlign w:val="superscript"/>
        </w:rPr>
        <w:t>th</w:t>
      </w:r>
      <w:r>
        <w:rPr>
          <w:sz w:val="24"/>
          <w:szCs w:val="24"/>
        </w:rPr>
        <w:t xml:space="preserve"> Edition-Clinical Modification</w:t>
      </w:r>
    </w:p>
    <w:tbl>
      <w:tblPr>
        <w:tblStyle w:val="PlainTable3"/>
        <w:tblW w:w="0" w:type="auto"/>
        <w:tblLook w:val="04A0" w:firstRow="1" w:lastRow="0" w:firstColumn="1" w:lastColumn="0" w:noHBand="0" w:noVBand="1"/>
      </w:tblPr>
      <w:tblGrid>
        <w:gridCol w:w="4675"/>
        <w:gridCol w:w="4675"/>
      </w:tblGrid>
      <w:tr w:rsidR="003B3A8F" w14:paraId="22BDD95D" w14:textId="77777777" w:rsidTr="0051762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75" w:type="dxa"/>
          </w:tcPr>
          <w:p w14:paraId="60DE94C8" w14:textId="77777777" w:rsidR="003B3A8F" w:rsidRDefault="003B3A8F" w:rsidP="003B3A8F">
            <w:pPr>
              <w:spacing w:line="480" w:lineRule="auto"/>
              <w:jc w:val="both"/>
              <w:rPr>
                <w:sz w:val="24"/>
                <w:szCs w:val="24"/>
              </w:rPr>
            </w:pPr>
          </w:p>
        </w:tc>
        <w:tc>
          <w:tcPr>
            <w:tcW w:w="4675" w:type="dxa"/>
          </w:tcPr>
          <w:p w14:paraId="55FE9598" w14:textId="77777777" w:rsidR="003B3A8F" w:rsidRPr="00517625" w:rsidRDefault="003B3A8F" w:rsidP="003B3A8F">
            <w:pPr>
              <w:spacing w:line="480" w:lineRule="auto"/>
              <w:jc w:val="both"/>
              <w:cnfStyle w:val="100000000000" w:firstRow="1" w:lastRow="0" w:firstColumn="0" w:lastColumn="0" w:oddVBand="0" w:evenVBand="0" w:oddHBand="0" w:evenHBand="0" w:firstRowFirstColumn="0" w:firstRowLastColumn="0" w:lastRowFirstColumn="0" w:lastRowLastColumn="0"/>
              <w:rPr>
                <w:sz w:val="24"/>
                <w:szCs w:val="24"/>
              </w:rPr>
            </w:pPr>
            <w:r w:rsidRPr="00517625">
              <w:rPr>
                <w:sz w:val="24"/>
                <w:szCs w:val="24"/>
              </w:rPr>
              <w:t>ICD-9 code present on admission</w:t>
            </w:r>
          </w:p>
        </w:tc>
      </w:tr>
      <w:tr w:rsidR="003B3A8F" w14:paraId="6B902CF3"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84882E6" w14:textId="77777777" w:rsidR="003B3A8F" w:rsidRPr="00517625" w:rsidRDefault="003B3A8F" w:rsidP="003B3A8F">
            <w:pPr>
              <w:spacing w:line="480" w:lineRule="auto"/>
              <w:jc w:val="both"/>
              <w:rPr>
                <w:sz w:val="24"/>
                <w:szCs w:val="24"/>
              </w:rPr>
            </w:pPr>
            <w:r w:rsidRPr="00517625">
              <w:rPr>
                <w:sz w:val="24"/>
                <w:szCs w:val="24"/>
              </w:rPr>
              <w:t>Sepsis or Septic Shock</w:t>
            </w:r>
          </w:p>
        </w:tc>
        <w:tc>
          <w:tcPr>
            <w:tcW w:w="4675" w:type="dxa"/>
          </w:tcPr>
          <w:p w14:paraId="40D2A1A6" w14:textId="77777777" w:rsidR="003B3A8F" w:rsidRDefault="003B3A8F"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0.38x, 995.91, 995.92, 785.52</w:t>
            </w:r>
          </w:p>
        </w:tc>
      </w:tr>
      <w:tr w:rsidR="003B3A8F" w14:paraId="0A0D5B7E"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151969B4" w14:textId="77777777" w:rsidR="003B3A8F" w:rsidRPr="00517625" w:rsidRDefault="003B3A8F" w:rsidP="003B3A8F">
            <w:pPr>
              <w:spacing w:line="480" w:lineRule="auto"/>
              <w:jc w:val="both"/>
              <w:rPr>
                <w:sz w:val="24"/>
                <w:szCs w:val="24"/>
              </w:rPr>
            </w:pPr>
            <w:r w:rsidRPr="00517625">
              <w:rPr>
                <w:sz w:val="24"/>
                <w:szCs w:val="24"/>
              </w:rPr>
              <w:t>Comorbid Conditions</w:t>
            </w:r>
          </w:p>
        </w:tc>
        <w:tc>
          <w:tcPr>
            <w:tcW w:w="4675" w:type="dxa"/>
          </w:tcPr>
          <w:p w14:paraId="0AF8E8F3" w14:textId="77777777" w:rsidR="003B3A8F" w:rsidRDefault="003B3A8F" w:rsidP="00517625">
            <w:pPr>
              <w:jc w:val="both"/>
              <w:cnfStyle w:val="000000000000" w:firstRow="0" w:lastRow="0" w:firstColumn="0" w:lastColumn="0" w:oddVBand="0" w:evenVBand="0" w:oddHBand="0" w:evenHBand="0" w:firstRowFirstColumn="0" w:firstRowLastColumn="0" w:lastRowFirstColumn="0" w:lastRowLastColumn="0"/>
              <w:rPr>
                <w:sz w:val="24"/>
                <w:szCs w:val="24"/>
              </w:rPr>
            </w:pPr>
          </w:p>
        </w:tc>
      </w:tr>
      <w:tr w:rsidR="003B3A8F" w14:paraId="262B1498"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D7BA081" w14:textId="77777777" w:rsidR="003B3A8F" w:rsidRPr="00517625" w:rsidRDefault="003B3A8F" w:rsidP="003B3A8F">
            <w:pPr>
              <w:spacing w:line="480" w:lineRule="auto"/>
              <w:jc w:val="both"/>
              <w:rPr>
                <w:b w:val="0"/>
                <w:sz w:val="24"/>
                <w:szCs w:val="24"/>
              </w:rPr>
            </w:pPr>
            <w:r w:rsidRPr="00517625">
              <w:rPr>
                <w:b w:val="0"/>
                <w:sz w:val="24"/>
                <w:szCs w:val="24"/>
              </w:rPr>
              <w:t xml:space="preserve">     Heart Failure</w:t>
            </w:r>
          </w:p>
        </w:tc>
        <w:tc>
          <w:tcPr>
            <w:tcW w:w="4675" w:type="dxa"/>
          </w:tcPr>
          <w:p w14:paraId="4AC94363"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398.91, 402.01, 402.11, 402.91, 404.01, 404.03, 404.11, 404.13, 404.91, 404.93, 425.4–425.9, 428.x</w:t>
            </w:r>
          </w:p>
        </w:tc>
      </w:tr>
      <w:tr w:rsidR="003B3A8F" w14:paraId="54F8F2EF"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5DC1C6B6" w14:textId="77777777" w:rsidR="003B3A8F" w:rsidRPr="00517625" w:rsidRDefault="003B3A8F" w:rsidP="003B3A8F">
            <w:pPr>
              <w:spacing w:line="480" w:lineRule="auto"/>
              <w:jc w:val="both"/>
              <w:rPr>
                <w:b w:val="0"/>
                <w:sz w:val="24"/>
                <w:szCs w:val="24"/>
              </w:rPr>
            </w:pPr>
            <w:r w:rsidRPr="00517625">
              <w:rPr>
                <w:b w:val="0"/>
                <w:sz w:val="24"/>
                <w:szCs w:val="24"/>
              </w:rPr>
              <w:t xml:space="preserve">     Diabetes Mellitus</w:t>
            </w:r>
          </w:p>
        </w:tc>
        <w:tc>
          <w:tcPr>
            <w:tcW w:w="4675" w:type="dxa"/>
          </w:tcPr>
          <w:p w14:paraId="6DF1167F"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250.x</w:t>
            </w:r>
          </w:p>
        </w:tc>
      </w:tr>
      <w:tr w:rsidR="003B3A8F" w14:paraId="037E2EF0"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D8C8AC5" w14:textId="77777777" w:rsidR="003B3A8F" w:rsidRPr="00517625" w:rsidRDefault="003B3A8F" w:rsidP="003B3A8F">
            <w:pPr>
              <w:spacing w:line="480" w:lineRule="auto"/>
              <w:jc w:val="both"/>
              <w:rPr>
                <w:b w:val="0"/>
                <w:sz w:val="24"/>
                <w:szCs w:val="24"/>
              </w:rPr>
            </w:pPr>
            <w:r w:rsidRPr="00517625">
              <w:rPr>
                <w:b w:val="0"/>
                <w:sz w:val="24"/>
                <w:szCs w:val="24"/>
              </w:rPr>
              <w:t xml:space="preserve">     Hypertension</w:t>
            </w:r>
          </w:p>
        </w:tc>
        <w:tc>
          <w:tcPr>
            <w:tcW w:w="4675" w:type="dxa"/>
          </w:tcPr>
          <w:p w14:paraId="43B4A080"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401-405, 437.2x</w:t>
            </w:r>
          </w:p>
        </w:tc>
      </w:tr>
      <w:tr w:rsidR="003B3A8F" w14:paraId="6D188F24"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1ADB57E6" w14:textId="77777777" w:rsidR="003B3A8F" w:rsidRPr="00517625" w:rsidRDefault="003B3A8F" w:rsidP="003B3A8F">
            <w:pPr>
              <w:spacing w:line="480" w:lineRule="auto"/>
              <w:jc w:val="both"/>
              <w:rPr>
                <w:b w:val="0"/>
                <w:sz w:val="24"/>
                <w:szCs w:val="24"/>
              </w:rPr>
            </w:pPr>
            <w:r w:rsidRPr="00517625">
              <w:rPr>
                <w:b w:val="0"/>
                <w:sz w:val="24"/>
                <w:szCs w:val="24"/>
              </w:rPr>
              <w:t xml:space="preserve">     Prior ischemic CVA/TIA</w:t>
            </w:r>
          </w:p>
        </w:tc>
        <w:tc>
          <w:tcPr>
            <w:tcW w:w="4675" w:type="dxa"/>
          </w:tcPr>
          <w:p w14:paraId="6BC7DA8F"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433.x1, 434.x1, 435.x, 436, 437.1x, 437.9x, 438.x</w:t>
            </w:r>
          </w:p>
        </w:tc>
      </w:tr>
      <w:tr w:rsidR="003B3A8F" w14:paraId="1C439635"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2384732" w14:textId="77777777" w:rsidR="003B3A8F" w:rsidRPr="00517625" w:rsidRDefault="003B3A8F" w:rsidP="003B3A8F">
            <w:pPr>
              <w:spacing w:line="480" w:lineRule="auto"/>
              <w:jc w:val="both"/>
              <w:rPr>
                <w:b w:val="0"/>
                <w:sz w:val="24"/>
                <w:szCs w:val="24"/>
              </w:rPr>
            </w:pPr>
            <w:r w:rsidRPr="00517625">
              <w:rPr>
                <w:b w:val="0"/>
                <w:sz w:val="24"/>
                <w:szCs w:val="24"/>
              </w:rPr>
              <w:t xml:space="preserve">     Atrial Fibrillation</w:t>
            </w:r>
          </w:p>
        </w:tc>
        <w:tc>
          <w:tcPr>
            <w:tcW w:w="4675" w:type="dxa"/>
          </w:tcPr>
          <w:p w14:paraId="24103164"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427.3</w:t>
            </w:r>
          </w:p>
        </w:tc>
      </w:tr>
      <w:tr w:rsidR="003B3A8F" w14:paraId="00D7D05E"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67E630AA" w14:textId="77777777" w:rsidR="003B3A8F" w:rsidRPr="00517625" w:rsidRDefault="003B3A8F" w:rsidP="003B3A8F">
            <w:pPr>
              <w:spacing w:line="480" w:lineRule="auto"/>
              <w:jc w:val="both"/>
              <w:rPr>
                <w:b w:val="0"/>
                <w:sz w:val="24"/>
                <w:szCs w:val="24"/>
              </w:rPr>
            </w:pPr>
            <w:r w:rsidRPr="00517625">
              <w:rPr>
                <w:b w:val="0"/>
                <w:sz w:val="24"/>
                <w:szCs w:val="24"/>
              </w:rPr>
              <w:t xml:space="preserve">     CAD/Prior MI</w:t>
            </w:r>
          </w:p>
        </w:tc>
        <w:tc>
          <w:tcPr>
            <w:tcW w:w="4675" w:type="dxa"/>
          </w:tcPr>
          <w:p w14:paraId="04E5D98E"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410.x–414.x, 429.2, V45.81</w:t>
            </w:r>
          </w:p>
        </w:tc>
      </w:tr>
      <w:tr w:rsidR="003B3A8F" w14:paraId="3F521857"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26146F7" w14:textId="77777777" w:rsidR="003B3A8F" w:rsidRPr="00517625" w:rsidRDefault="003B3A8F" w:rsidP="003B3A8F">
            <w:pPr>
              <w:spacing w:line="480" w:lineRule="auto"/>
              <w:jc w:val="both"/>
              <w:rPr>
                <w:b w:val="0"/>
                <w:sz w:val="24"/>
                <w:szCs w:val="24"/>
              </w:rPr>
            </w:pPr>
            <w:r w:rsidRPr="00517625">
              <w:rPr>
                <w:b w:val="0"/>
                <w:sz w:val="24"/>
                <w:szCs w:val="24"/>
              </w:rPr>
              <w:t xml:space="preserve">     Renal Insufficiency</w:t>
            </w:r>
          </w:p>
        </w:tc>
        <w:tc>
          <w:tcPr>
            <w:tcW w:w="4675" w:type="dxa"/>
          </w:tcPr>
          <w:p w14:paraId="18EC6101"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403.01, 403.11, 403.91, 404.02, 404.03, 404.12, 404.13, 404.92, 404.93, 582.x, 583.0–583.7, 585.x, 586.x, 588.0, V42.0, V45.1, V56.x</w:t>
            </w:r>
          </w:p>
        </w:tc>
      </w:tr>
      <w:tr w:rsidR="003B3A8F" w14:paraId="5DCAE9DA"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4B7C8531" w14:textId="77777777" w:rsidR="003B3A8F" w:rsidRPr="00517625" w:rsidRDefault="003B3A8F" w:rsidP="003B3A8F">
            <w:pPr>
              <w:spacing w:line="480" w:lineRule="auto"/>
              <w:jc w:val="both"/>
              <w:rPr>
                <w:b w:val="0"/>
                <w:sz w:val="24"/>
                <w:szCs w:val="24"/>
              </w:rPr>
            </w:pPr>
            <w:r w:rsidRPr="00517625">
              <w:rPr>
                <w:b w:val="0"/>
                <w:sz w:val="24"/>
                <w:szCs w:val="24"/>
              </w:rPr>
              <w:t xml:space="preserve">     Chronic pulmonary disease</w:t>
            </w:r>
          </w:p>
        </w:tc>
        <w:tc>
          <w:tcPr>
            <w:tcW w:w="4675" w:type="dxa"/>
          </w:tcPr>
          <w:p w14:paraId="030E7C80"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416.8, 416.9, 490.x–505.x, 506.4, 508.1, 508.8</w:t>
            </w:r>
          </w:p>
        </w:tc>
      </w:tr>
      <w:tr w:rsidR="003B3A8F" w14:paraId="602A6EA0"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C7A489B" w14:textId="77777777" w:rsidR="003B3A8F" w:rsidRPr="00517625" w:rsidRDefault="003B3A8F" w:rsidP="003B3A8F">
            <w:pPr>
              <w:spacing w:line="480" w:lineRule="auto"/>
              <w:jc w:val="both"/>
              <w:rPr>
                <w:b w:val="0"/>
                <w:sz w:val="24"/>
                <w:szCs w:val="24"/>
              </w:rPr>
            </w:pPr>
            <w:r w:rsidRPr="00517625">
              <w:rPr>
                <w:b w:val="0"/>
                <w:sz w:val="24"/>
                <w:szCs w:val="24"/>
              </w:rPr>
              <w:t xml:space="preserve">     Valvular heart disease</w:t>
            </w:r>
          </w:p>
        </w:tc>
        <w:tc>
          <w:tcPr>
            <w:tcW w:w="4675" w:type="dxa"/>
          </w:tcPr>
          <w:p w14:paraId="0A404F2F"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394.x–397.x, 398.9, 42.4x, V42.2, V43.3</w:t>
            </w:r>
          </w:p>
        </w:tc>
      </w:tr>
      <w:tr w:rsidR="003B3A8F" w14:paraId="124E6373"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56E2E4F0" w14:textId="77777777" w:rsidR="003B3A8F" w:rsidRPr="00517625" w:rsidRDefault="003B3A8F" w:rsidP="003B3A8F">
            <w:pPr>
              <w:spacing w:line="480" w:lineRule="auto"/>
              <w:jc w:val="both"/>
              <w:rPr>
                <w:b w:val="0"/>
                <w:sz w:val="24"/>
                <w:szCs w:val="24"/>
              </w:rPr>
            </w:pPr>
            <w:r w:rsidRPr="00517625">
              <w:rPr>
                <w:b w:val="0"/>
                <w:sz w:val="24"/>
                <w:szCs w:val="24"/>
              </w:rPr>
              <w:t xml:space="preserve">     Peripheral vascular disease</w:t>
            </w:r>
          </w:p>
        </w:tc>
        <w:tc>
          <w:tcPr>
            <w:tcW w:w="4675" w:type="dxa"/>
          </w:tcPr>
          <w:p w14:paraId="5975ABD8"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093.0, 437.3, 440.x, 441.x, 443.1–443.9, 47.1, 557.1, 557.9, V43.4</w:t>
            </w:r>
          </w:p>
        </w:tc>
      </w:tr>
      <w:tr w:rsidR="003B3A8F" w14:paraId="265268FE"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449EE6B" w14:textId="77777777" w:rsidR="003B3A8F" w:rsidRPr="00517625" w:rsidRDefault="003B3A8F" w:rsidP="003B3A8F">
            <w:pPr>
              <w:spacing w:line="480" w:lineRule="auto"/>
              <w:jc w:val="both"/>
              <w:rPr>
                <w:b w:val="0"/>
                <w:sz w:val="24"/>
                <w:szCs w:val="24"/>
              </w:rPr>
            </w:pPr>
            <w:r w:rsidRPr="00517625">
              <w:rPr>
                <w:b w:val="0"/>
                <w:sz w:val="24"/>
                <w:szCs w:val="24"/>
              </w:rPr>
              <w:t xml:space="preserve">     Venous thromboembolic disease</w:t>
            </w:r>
          </w:p>
        </w:tc>
        <w:tc>
          <w:tcPr>
            <w:tcW w:w="4675" w:type="dxa"/>
          </w:tcPr>
          <w:p w14:paraId="034C6F31"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415.1, 453.x, 459.1, 673, V12.51</w:t>
            </w:r>
          </w:p>
        </w:tc>
      </w:tr>
      <w:tr w:rsidR="003B3A8F" w14:paraId="5308D047"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4292A8F9" w14:textId="77777777" w:rsidR="003B3A8F" w:rsidRPr="00517625" w:rsidRDefault="003B3A8F" w:rsidP="003B3A8F">
            <w:pPr>
              <w:spacing w:line="480" w:lineRule="auto"/>
              <w:jc w:val="both"/>
              <w:rPr>
                <w:b w:val="0"/>
                <w:sz w:val="24"/>
                <w:szCs w:val="24"/>
              </w:rPr>
            </w:pPr>
            <w:r w:rsidRPr="00517625">
              <w:rPr>
                <w:b w:val="0"/>
                <w:sz w:val="24"/>
                <w:szCs w:val="24"/>
              </w:rPr>
              <w:t xml:space="preserve">     Cancer</w:t>
            </w:r>
          </w:p>
        </w:tc>
        <w:tc>
          <w:tcPr>
            <w:tcW w:w="4675" w:type="dxa"/>
          </w:tcPr>
          <w:p w14:paraId="0F693AFE"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140.x–172.x, 174.x–195.8, 200.x–208.x, 238.6, 196.x–199.x</w:t>
            </w:r>
          </w:p>
        </w:tc>
      </w:tr>
      <w:tr w:rsidR="003B3A8F" w14:paraId="18D4898D"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42B21DE" w14:textId="77777777" w:rsidR="003B3A8F" w:rsidRPr="00517625" w:rsidRDefault="003B3A8F" w:rsidP="003B3A8F">
            <w:pPr>
              <w:spacing w:line="480" w:lineRule="auto"/>
              <w:jc w:val="both"/>
              <w:rPr>
                <w:b w:val="0"/>
                <w:sz w:val="24"/>
                <w:szCs w:val="24"/>
              </w:rPr>
            </w:pPr>
            <w:r w:rsidRPr="00517625">
              <w:rPr>
                <w:b w:val="0"/>
                <w:sz w:val="24"/>
                <w:szCs w:val="24"/>
              </w:rPr>
              <w:t xml:space="preserve">     Dementia</w:t>
            </w:r>
          </w:p>
        </w:tc>
        <w:tc>
          <w:tcPr>
            <w:tcW w:w="4675" w:type="dxa"/>
          </w:tcPr>
          <w:p w14:paraId="55BEEE9B"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290, 331.0</w:t>
            </w:r>
          </w:p>
        </w:tc>
      </w:tr>
      <w:tr w:rsidR="003B3A8F" w14:paraId="69311CB8"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2CADA683" w14:textId="77777777" w:rsidR="003B3A8F" w:rsidRPr="00517625" w:rsidRDefault="003B3A8F" w:rsidP="003B3A8F">
            <w:pPr>
              <w:spacing w:line="480" w:lineRule="auto"/>
              <w:jc w:val="both"/>
              <w:rPr>
                <w:b w:val="0"/>
                <w:sz w:val="24"/>
                <w:szCs w:val="24"/>
              </w:rPr>
            </w:pPr>
            <w:r w:rsidRPr="00517625">
              <w:rPr>
                <w:b w:val="0"/>
                <w:sz w:val="24"/>
                <w:szCs w:val="24"/>
              </w:rPr>
              <w:t xml:space="preserve">     Cirrhosis</w:t>
            </w:r>
          </w:p>
        </w:tc>
        <w:tc>
          <w:tcPr>
            <w:tcW w:w="4675" w:type="dxa"/>
          </w:tcPr>
          <w:p w14:paraId="1CD9C396"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571.x</w:t>
            </w:r>
          </w:p>
        </w:tc>
      </w:tr>
      <w:tr w:rsidR="003B3A8F" w14:paraId="7DEB64B8"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C27A6C6" w14:textId="77777777" w:rsidR="003B3A8F" w:rsidRPr="00517625" w:rsidRDefault="003B3A8F" w:rsidP="003B3A8F">
            <w:pPr>
              <w:spacing w:line="480" w:lineRule="auto"/>
              <w:jc w:val="both"/>
              <w:rPr>
                <w:sz w:val="24"/>
                <w:szCs w:val="24"/>
              </w:rPr>
            </w:pPr>
            <w:r w:rsidRPr="00517625">
              <w:rPr>
                <w:sz w:val="24"/>
                <w:szCs w:val="24"/>
              </w:rPr>
              <w:t>Comorbid Acute Organ Failures</w:t>
            </w:r>
          </w:p>
        </w:tc>
        <w:tc>
          <w:tcPr>
            <w:tcW w:w="4675" w:type="dxa"/>
          </w:tcPr>
          <w:p w14:paraId="3835AAEF" w14:textId="77777777" w:rsidR="003B3A8F" w:rsidRDefault="003B3A8F" w:rsidP="00517625">
            <w:pPr>
              <w:jc w:val="both"/>
              <w:cnfStyle w:val="000000100000" w:firstRow="0" w:lastRow="0" w:firstColumn="0" w:lastColumn="0" w:oddVBand="0" w:evenVBand="0" w:oddHBand="1" w:evenHBand="0" w:firstRowFirstColumn="0" w:firstRowLastColumn="0" w:lastRowFirstColumn="0" w:lastRowLastColumn="0"/>
              <w:rPr>
                <w:sz w:val="24"/>
                <w:szCs w:val="24"/>
              </w:rPr>
            </w:pPr>
          </w:p>
        </w:tc>
      </w:tr>
      <w:tr w:rsidR="003B3A8F" w14:paraId="632FF56D"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4A83D523" w14:textId="77777777" w:rsidR="003B3A8F" w:rsidRPr="00517625" w:rsidRDefault="003B3A8F" w:rsidP="003B3A8F">
            <w:pPr>
              <w:spacing w:line="480" w:lineRule="auto"/>
              <w:jc w:val="both"/>
              <w:rPr>
                <w:b w:val="0"/>
                <w:sz w:val="24"/>
                <w:szCs w:val="24"/>
              </w:rPr>
            </w:pPr>
            <w:r w:rsidRPr="00517625">
              <w:rPr>
                <w:b w:val="0"/>
                <w:sz w:val="24"/>
                <w:szCs w:val="24"/>
              </w:rPr>
              <w:lastRenderedPageBreak/>
              <w:t xml:space="preserve">     Acute Respiratory Failure</w:t>
            </w:r>
          </w:p>
        </w:tc>
        <w:tc>
          <w:tcPr>
            <w:tcW w:w="4675" w:type="dxa"/>
          </w:tcPr>
          <w:p w14:paraId="3E9487F1"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518.81, 518.82, 518.84, 786.09, 799.1, or procedure 96.7x on hospital day 0 or 1</w:t>
            </w:r>
          </w:p>
        </w:tc>
      </w:tr>
      <w:tr w:rsidR="003B3A8F" w14:paraId="35D5347A"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E73E60" w14:textId="77777777" w:rsidR="003B3A8F" w:rsidRPr="00517625" w:rsidRDefault="003B3A8F" w:rsidP="003B3A8F">
            <w:pPr>
              <w:spacing w:line="480" w:lineRule="auto"/>
              <w:jc w:val="both"/>
              <w:rPr>
                <w:b w:val="0"/>
                <w:sz w:val="24"/>
                <w:szCs w:val="24"/>
              </w:rPr>
            </w:pPr>
            <w:r w:rsidRPr="00517625">
              <w:rPr>
                <w:b w:val="0"/>
                <w:sz w:val="24"/>
                <w:szCs w:val="24"/>
              </w:rPr>
              <w:t xml:space="preserve">     Acute Renal Failure</w:t>
            </w:r>
          </w:p>
        </w:tc>
        <w:tc>
          <w:tcPr>
            <w:tcW w:w="4675" w:type="dxa"/>
          </w:tcPr>
          <w:p w14:paraId="5F50B24E"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584, 585</w:t>
            </w:r>
          </w:p>
        </w:tc>
      </w:tr>
      <w:tr w:rsidR="003B3A8F" w14:paraId="1E62A94B"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4F4AF380" w14:textId="77777777" w:rsidR="003B3A8F" w:rsidRPr="00517625" w:rsidRDefault="003B3A8F" w:rsidP="003B3A8F">
            <w:pPr>
              <w:spacing w:line="480" w:lineRule="auto"/>
              <w:jc w:val="both"/>
              <w:rPr>
                <w:b w:val="0"/>
                <w:sz w:val="24"/>
                <w:szCs w:val="24"/>
              </w:rPr>
            </w:pPr>
            <w:r w:rsidRPr="00517625">
              <w:rPr>
                <w:b w:val="0"/>
                <w:sz w:val="24"/>
                <w:szCs w:val="24"/>
              </w:rPr>
              <w:t xml:space="preserve">     Acute Neurologic Failure</w:t>
            </w:r>
          </w:p>
        </w:tc>
        <w:tc>
          <w:tcPr>
            <w:tcW w:w="4675" w:type="dxa"/>
          </w:tcPr>
          <w:p w14:paraId="096C64C6"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348.3, 293, 348.1, 780.01, 780.09, or procedure 89.14 on hospital day 0 or 1</w:t>
            </w:r>
          </w:p>
        </w:tc>
      </w:tr>
      <w:tr w:rsidR="003B3A8F" w14:paraId="0BBDB143"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A055FE9" w14:textId="77777777" w:rsidR="003B3A8F" w:rsidRPr="00517625" w:rsidRDefault="003B3A8F" w:rsidP="003B3A8F">
            <w:pPr>
              <w:spacing w:line="480" w:lineRule="auto"/>
              <w:jc w:val="both"/>
              <w:rPr>
                <w:b w:val="0"/>
                <w:sz w:val="24"/>
                <w:szCs w:val="24"/>
              </w:rPr>
            </w:pPr>
            <w:r w:rsidRPr="00517625">
              <w:rPr>
                <w:b w:val="0"/>
                <w:sz w:val="24"/>
                <w:szCs w:val="24"/>
              </w:rPr>
              <w:t xml:space="preserve">     Acute Hematologic Failure</w:t>
            </w:r>
          </w:p>
        </w:tc>
        <w:tc>
          <w:tcPr>
            <w:tcW w:w="4675" w:type="dxa"/>
          </w:tcPr>
          <w:p w14:paraId="4B3D5A4A"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287.3, 287.4, 287.5, 286.9, 286.6, 286.2</w:t>
            </w:r>
          </w:p>
        </w:tc>
      </w:tr>
      <w:tr w:rsidR="003B3A8F" w14:paraId="0251B88E"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07460BCB" w14:textId="77777777" w:rsidR="003B3A8F" w:rsidRPr="00517625" w:rsidRDefault="003B3A8F" w:rsidP="003B3A8F">
            <w:pPr>
              <w:spacing w:line="480" w:lineRule="auto"/>
              <w:jc w:val="both"/>
              <w:rPr>
                <w:b w:val="0"/>
                <w:sz w:val="24"/>
                <w:szCs w:val="24"/>
              </w:rPr>
            </w:pPr>
            <w:r w:rsidRPr="00517625">
              <w:rPr>
                <w:b w:val="0"/>
                <w:sz w:val="24"/>
                <w:szCs w:val="24"/>
              </w:rPr>
              <w:t xml:space="preserve">     Acute Metabolic Failure</w:t>
            </w:r>
          </w:p>
        </w:tc>
        <w:tc>
          <w:tcPr>
            <w:tcW w:w="4675" w:type="dxa"/>
          </w:tcPr>
          <w:p w14:paraId="253F23EB"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276.2</w:t>
            </w:r>
          </w:p>
        </w:tc>
      </w:tr>
      <w:tr w:rsidR="003B3A8F" w14:paraId="2164F148"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421CC52" w14:textId="77777777" w:rsidR="003B3A8F" w:rsidRPr="00517625" w:rsidRDefault="003B3A8F" w:rsidP="003B3A8F">
            <w:pPr>
              <w:spacing w:line="480" w:lineRule="auto"/>
              <w:jc w:val="both"/>
              <w:rPr>
                <w:b w:val="0"/>
                <w:sz w:val="24"/>
                <w:szCs w:val="24"/>
              </w:rPr>
            </w:pPr>
            <w:r w:rsidRPr="00517625">
              <w:rPr>
                <w:b w:val="0"/>
                <w:sz w:val="24"/>
                <w:szCs w:val="24"/>
              </w:rPr>
              <w:t xml:space="preserve">     Acute Hepatic Failure</w:t>
            </w:r>
          </w:p>
        </w:tc>
        <w:tc>
          <w:tcPr>
            <w:tcW w:w="4675" w:type="dxa"/>
          </w:tcPr>
          <w:p w14:paraId="6FA82A20"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570, 572.2, 573.3, 573.4</w:t>
            </w:r>
          </w:p>
        </w:tc>
      </w:tr>
      <w:tr w:rsidR="003B3A8F" w14:paraId="39A99745"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3889211C" w14:textId="77777777" w:rsidR="003B3A8F" w:rsidRPr="00517625" w:rsidRDefault="003B3A8F" w:rsidP="003B3A8F">
            <w:pPr>
              <w:spacing w:line="480" w:lineRule="auto"/>
              <w:jc w:val="both"/>
              <w:rPr>
                <w:sz w:val="24"/>
                <w:szCs w:val="24"/>
              </w:rPr>
            </w:pPr>
            <w:r w:rsidRPr="00517625">
              <w:rPr>
                <w:sz w:val="24"/>
                <w:szCs w:val="24"/>
              </w:rPr>
              <w:t>Site of Infection</w:t>
            </w:r>
          </w:p>
        </w:tc>
        <w:tc>
          <w:tcPr>
            <w:tcW w:w="4675" w:type="dxa"/>
          </w:tcPr>
          <w:p w14:paraId="7FC813B9" w14:textId="77777777" w:rsidR="003B3A8F" w:rsidRDefault="003B3A8F" w:rsidP="00517625">
            <w:pPr>
              <w:jc w:val="both"/>
              <w:cnfStyle w:val="000000000000" w:firstRow="0" w:lastRow="0" w:firstColumn="0" w:lastColumn="0" w:oddVBand="0" w:evenVBand="0" w:oddHBand="0" w:evenHBand="0" w:firstRowFirstColumn="0" w:firstRowLastColumn="0" w:lastRowFirstColumn="0" w:lastRowLastColumn="0"/>
              <w:rPr>
                <w:sz w:val="24"/>
                <w:szCs w:val="24"/>
              </w:rPr>
            </w:pPr>
          </w:p>
        </w:tc>
      </w:tr>
      <w:tr w:rsidR="003B3A8F" w14:paraId="7A4296CD"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A1CFDAB" w14:textId="77777777" w:rsidR="003B3A8F" w:rsidRPr="00517625" w:rsidRDefault="003B3A8F" w:rsidP="003B3A8F">
            <w:pPr>
              <w:spacing w:line="480" w:lineRule="auto"/>
              <w:jc w:val="both"/>
              <w:rPr>
                <w:b w:val="0"/>
                <w:sz w:val="24"/>
                <w:szCs w:val="24"/>
              </w:rPr>
            </w:pPr>
            <w:r w:rsidRPr="00517625">
              <w:rPr>
                <w:b w:val="0"/>
                <w:sz w:val="24"/>
                <w:szCs w:val="24"/>
              </w:rPr>
              <w:t xml:space="preserve">     Pneumonia</w:t>
            </w:r>
          </w:p>
        </w:tc>
        <w:tc>
          <w:tcPr>
            <w:tcW w:w="4675" w:type="dxa"/>
          </w:tcPr>
          <w:p w14:paraId="053C6D87"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481, 482, 483, 484, 485, 486, 487</w:t>
            </w:r>
          </w:p>
        </w:tc>
      </w:tr>
      <w:tr w:rsidR="003B3A8F" w14:paraId="42CE724E"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67A0309B" w14:textId="77777777" w:rsidR="003B3A8F" w:rsidRPr="00517625" w:rsidRDefault="003B3A8F" w:rsidP="003B3A8F">
            <w:pPr>
              <w:spacing w:line="480" w:lineRule="auto"/>
              <w:jc w:val="both"/>
              <w:rPr>
                <w:b w:val="0"/>
                <w:sz w:val="24"/>
                <w:szCs w:val="24"/>
              </w:rPr>
            </w:pPr>
            <w:r w:rsidRPr="00517625">
              <w:rPr>
                <w:b w:val="0"/>
                <w:sz w:val="24"/>
                <w:szCs w:val="24"/>
              </w:rPr>
              <w:t xml:space="preserve">     Primary Bacteremia or Fungemia</w:t>
            </w:r>
          </w:p>
        </w:tc>
        <w:tc>
          <w:tcPr>
            <w:tcW w:w="4675" w:type="dxa"/>
          </w:tcPr>
          <w:p w14:paraId="07758726"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038, 117.9, 112.5, 790.7 without code for other infection</w:t>
            </w:r>
          </w:p>
        </w:tc>
      </w:tr>
      <w:tr w:rsidR="003B3A8F" w14:paraId="3052227B"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503E857" w14:textId="77777777" w:rsidR="003B3A8F" w:rsidRPr="00517625" w:rsidRDefault="003B3A8F" w:rsidP="003B3A8F">
            <w:pPr>
              <w:spacing w:line="480" w:lineRule="auto"/>
              <w:jc w:val="both"/>
              <w:rPr>
                <w:b w:val="0"/>
                <w:sz w:val="24"/>
                <w:szCs w:val="24"/>
              </w:rPr>
            </w:pPr>
            <w:r w:rsidRPr="00517625">
              <w:rPr>
                <w:b w:val="0"/>
                <w:sz w:val="24"/>
                <w:szCs w:val="24"/>
              </w:rPr>
              <w:t xml:space="preserve">     Gastrointestinal Infection</w:t>
            </w:r>
          </w:p>
        </w:tc>
        <w:tc>
          <w:tcPr>
            <w:tcW w:w="4675" w:type="dxa"/>
          </w:tcPr>
          <w:p w14:paraId="01F50875"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540, 541, 562.1, 574, 575 ,557, 569.83</w:t>
            </w:r>
          </w:p>
        </w:tc>
      </w:tr>
      <w:tr w:rsidR="003B3A8F" w14:paraId="21413BBF" w14:textId="77777777" w:rsidTr="00517625">
        <w:tc>
          <w:tcPr>
            <w:cnfStyle w:val="001000000000" w:firstRow="0" w:lastRow="0" w:firstColumn="1" w:lastColumn="0" w:oddVBand="0" w:evenVBand="0" w:oddHBand="0" w:evenHBand="0" w:firstRowFirstColumn="0" w:firstRowLastColumn="0" w:lastRowFirstColumn="0" w:lastRowLastColumn="0"/>
            <w:tcW w:w="4675" w:type="dxa"/>
          </w:tcPr>
          <w:p w14:paraId="5A01A871" w14:textId="77777777" w:rsidR="003B3A8F" w:rsidRPr="00517625" w:rsidRDefault="003B3A8F" w:rsidP="003B3A8F">
            <w:pPr>
              <w:spacing w:line="480" w:lineRule="auto"/>
              <w:jc w:val="both"/>
              <w:rPr>
                <w:b w:val="0"/>
                <w:sz w:val="24"/>
                <w:szCs w:val="24"/>
              </w:rPr>
            </w:pPr>
            <w:r w:rsidRPr="00517625">
              <w:rPr>
                <w:b w:val="0"/>
                <w:sz w:val="24"/>
                <w:szCs w:val="24"/>
              </w:rPr>
              <w:t xml:space="preserve">     Urinary Tract Infection</w:t>
            </w:r>
          </w:p>
        </w:tc>
        <w:tc>
          <w:tcPr>
            <w:tcW w:w="4675" w:type="dxa"/>
          </w:tcPr>
          <w:p w14:paraId="0CA7ED24" w14:textId="77777777" w:rsidR="003B3A8F" w:rsidRDefault="00517625" w:rsidP="00517625">
            <w:pPr>
              <w:jc w:val="both"/>
              <w:cnfStyle w:val="000000000000" w:firstRow="0" w:lastRow="0" w:firstColumn="0" w:lastColumn="0" w:oddVBand="0" w:evenVBand="0" w:oddHBand="0" w:evenHBand="0" w:firstRowFirstColumn="0" w:firstRowLastColumn="0" w:lastRowFirstColumn="0" w:lastRowLastColumn="0"/>
              <w:rPr>
                <w:sz w:val="24"/>
                <w:szCs w:val="24"/>
              </w:rPr>
            </w:pPr>
            <w:r>
              <w:t>590, 599</w:t>
            </w:r>
          </w:p>
        </w:tc>
      </w:tr>
      <w:tr w:rsidR="003B3A8F" w14:paraId="2BBEBEF4" w14:textId="77777777" w:rsidTr="005176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E9DD4AB" w14:textId="77777777" w:rsidR="003B3A8F" w:rsidRPr="00517625" w:rsidRDefault="003B3A8F" w:rsidP="003B3A8F">
            <w:pPr>
              <w:spacing w:line="480" w:lineRule="auto"/>
              <w:jc w:val="both"/>
              <w:rPr>
                <w:b w:val="0"/>
                <w:sz w:val="24"/>
                <w:szCs w:val="24"/>
              </w:rPr>
            </w:pPr>
            <w:r w:rsidRPr="00517625">
              <w:rPr>
                <w:b w:val="0"/>
                <w:sz w:val="24"/>
                <w:szCs w:val="24"/>
              </w:rPr>
              <w:t xml:space="preserve">     Skin or Soft Tissue Infection</w:t>
            </w:r>
          </w:p>
        </w:tc>
        <w:tc>
          <w:tcPr>
            <w:tcW w:w="4675" w:type="dxa"/>
          </w:tcPr>
          <w:p w14:paraId="67F48C7E" w14:textId="77777777" w:rsidR="003B3A8F" w:rsidRDefault="00517625" w:rsidP="00517625">
            <w:pPr>
              <w:jc w:val="both"/>
              <w:cnfStyle w:val="000000100000" w:firstRow="0" w:lastRow="0" w:firstColumn="0" w:lastColumn="0" w:oddVBand="0" w:evenVBand="0" w:oddHBand="1" w:evenHBand="0" w:firstRowFirstColumn="0" w:firstRowLastColumn="0" w:lastRowFirstColumn="0" w:lastRowLastColumn="0"/>
              <w:rPr>
                <w:sz w:val="24"/>
                <w:szCs w:val="24"/>
              </w:rPr>
            </w:pPr>
            <w:r>
              <w:t>035, 680, 681, 682, 683, 684, 686</w:t>
            </w:r>
          </w:p>
        </w:tc>
      </w:tr>
    </w:tbl>
    <w:p w14:paraId="4FB04FCF" w14:textId="6AE7BF38" w:rsidR="003B3A8F" w:rsidRDefault="00517625" w:rsidP="003B3A8F">
      <w:pPr>
        <w:spacing w:after="0" w:line="480" w:lineRule="auto"/>
        <w:ind w:left="360"/>
        <w:jc w:val="both"/>
        <w:rPr>
          <w:sz w:val="24"/>
          <w:szCs w:val="24"/>
        </w:rPr>
      </w:pPr>
      <w:r>
        <w:rPr>
          <w:sz w:val="24"/>
          <w:szCs w:val="24"/>
        </w:rPr>
        <w:t>CVA – Cerebrovascular accident, TIA – Transient ischemic attack, CAD – coronary artery disease, MI – myocardial infarction</w:t>
      </w:r>
    </w:p>
    <w:p w14:paraId="628C7F0F" w14:textId="46795FEE" w:rsidR="006300E7" w:rsidRDefault="006300E7">
      <w:pPr>
        <w:rPr>
          <w:sz w:val="24"/>
          <w:szCs w:val="24"/>
        </w:rPr>
      </w:pPr>
      <w:r>
        <w:rPr>
          <w:sz w:val="24"/>
          <w:szCs w:val="24"/>
        </w:rPr>
        <w:br w:type="page"/>
      </w:r>
    </w:p>
    <w:p w14:paraId="3962134A" w14:textId="32AAD5CC" w:rsidR="006572D2" w:rsidRDefault="006300E7" w:rsidP="006300E7">
      <w:pPr>
        <w:spacing w:after="0" w:line="480" w:lineRule="auto"/>
        <w:jc w:val="both"/>
        <w:rPr>
          <w:sz w:val="24"/>
          <w:szCs w:val="24"/>
        </w:rPr>
      </w:pPr>
      <w:r>
        <w:rPr>
          <w:b/>
          <w:sz w:val="24"/>
          <w:szCs w:val="24"/>
        </w:rPr>
        <w:lastRenderedPageBreak/>
        <w:t>Supplemental Table 2</w:t>
      </w:r>
      <w:r>
        <w:rPr>
          <w:sz w:val="24"/>
          <w:szCs w:val="24"/>
        </w:rPr>
        <w:t xml:space="preserve">: </w:t>
      </w:r>
      <w:r w:rsidR="00F77748">
        <w:rPr>
          <w:b/>
          <w:sz w:val="24"/>
          <w:szCs w:val="24"/>
        </w:rPr>
        <w:t>Association Between Procalcitonin and Outcomes by Infection Site</w:t>
      </w:r>
    </w:p>
    <w:tbl>
      <w:tblPr>
        <w:tblStyle w:val="PlainTable3"/>
        <w:tblW w:w="0" w:type="auto"/>
        <w:tblLook w:val="04A0" w:firstRow="1" w:lastRow="0" w:firstColumn="1" w:lastColumn="0" w:noHBand="0" w:noVBand="1"/>
      </w:tblPr>
      <w:tblGrid>
        <w:gridCol w:w="2631"/>
        <w:gridCol w:w="2238"/>
        <w:gridCol w:w="2258"/>
        <w:gridCol w:w="2233"/>
      </w:tblGrid>
      <w:tr w:rsidR="00F77748" w14:paraId="587A1FA2" w14:textId="77777777" w:rsidTr="00717AB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31" w:type="dxa"/>
          </w:tcPr>
          <w:p w14:paraId="5B3B29A5" w14:textId="52DBD78A" w:rsidR="00F77748" w:rsidRDefault="00F77748" w:rsidP="006300E7">
            <w:pPr>
              <w:spacing w:line="480" w:lineRule="auto"/>
              <w:jc w:val="both"/>
              <w:rPr>
                <w:sz w:val="24"/>
                <w:szCs w:val="24"/>
              </w:rPr>
            </w:pPr>
            <w:r>
              <w:rPr>
                <w:sz w:val="24"/>
                <w:szCs w:val="24"/>
              </w:rPr>
              <w:t>Site of Infection</w:t>
            </w:r>
          </w:p>
        </w:tc>
        <w:tc>
          <w:tcPr>
            <w:tcW w:w="2238" w:type="dxa"/>
          </w:tcPr>
          <w:p w14:paraId="07B981B3" w14:textId="02086165" w:rsidR="00F77748" w:rsidRDefault="00F77748" w:rsidP="006300E7">
            <w:pPr>
              <w:spacing w:line="48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Antibiotic-Days</w:t>
            </w:r>
          </w:p>
        </w:tc>
        <w:tc>
          <w:tcPr>
            <w:tcW w:w="2258" w:type="dxa"/>
          </w:tcPr>
          <w:p w14:paraId="72B172EF" w14:textId="246A79B0" w:rsidR="00F77748" w:rsidRPr="00F77748" w:rsidRDefault="00F77748" w:rsidP="006300E7">
            <w:pPr>
              <w:spacing w:line="480" w:lineRule="auto"/>
              <w:jc w:val="both"/>
              <w:cnfStyle w:val="100000000000" w:firstRow="1" w:lastRow="0" w:firstColumn="0" w:lastColumn="0" w:oddVBand="0" w:evenVBand="0" w:oddHBand="0" w:evenHBand="0" w:firstRowFirstColumn="0" w:firstRowLastColumn="0" w:lastRowFirstColumn="0" w:lastRowLastColumn="0"/>
              <w:rPr>
                <w:i/>
                <w:sz w:val="24"/>
                <w:szCs w:val="24"/>
              </w:rPr>
            </w:pPr>
            <w:r w:rsidRPr="00F77748">
              <w:rPr>
                <w:i/>
                <w:sz w:val="24"/>
                <w:szCs w:val="24"/>
              </w:rPr>
              <w:t>Clostridium Difficile</w:t>
            </w:r>
          </w:p>
        </w:tc>
        <w:tc>
          <w:tcPr>
            <w:tcW w:w="2233" w:type="dxa"/>
          </w:tcPr>
          <w:p w14:paraId="1C9342E5" w14:textId="7A3816AD" w:rsidR="00F77748" w:rsidRDefault="00F77748" w:rsidP="006300E7">
            <w:pPr>
              <w:spacing w:line="48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Mortality</w:t>
            </w:r>
          </w:p>
        </w:tc>
      </w:tr>
      <w:tr w:rsidR="00F77748" w14:paraId="504F4C39" w14:textId="77777777" w:rsidTr="00717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601C7EE3" w14:textId="007455B4" w:rsidR="00F77748" w:rsidRDefault="00F77748" w:rsidP="006300E7">
            <w:pPr>
              <w:spacing w:line="480" w:lineRule="auto"/>
              <w:jc w:val="both"/>
              <w:rPr>
                <w:sz w:val="24"/>
                <w:szCs w:val="24"/>
              </w:rPr>
            </w:pPr>
            <w:r>
              <w:rPr>
                <w:sz w:val="24"/>
                <w:szCs w:val="24"/>
              </w:rPr>
              <w:t>Pulmonary</w:t>
            </w:r>
          </w:p>
        </w:tc>
        <w:tc>
          <w:tcPr>
            <w:tcW w:w="2238" w:type="dxa"/>
          </w:tcPr>
          <w:p w14:paraId="403CC007" w14:textId="30DDC000" w:rsidR="00F77748" w:rsidRDefault="00F77748"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1.13 (1.10-1.16)</w:t>
            </w:r>
          </w:p>
        </w:tc>
        <w:tc>
          <w:tcPr>
            <w:tcW w:w="2258" w:type="dxa"/>
          </w:tcPr>
          <w:p w14:paraId="759FA627" w14:textId="43AEEF0E"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1.14 (0.65-1.99)</w:t>
            </w:r>
          </w:p>
        </w:tc>
        <w:tc>
          <w:tcPr>
            <w:tcW w:w="2233" w:type="dxa"/>
          </w:tcPr>
          <w:p w14:paraId="08B62FAA" w14:textId="0019826C"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0.98 (0.82-1.16)</w:t>
            </w:r>
          </w:p>
        </w:tc>
      </w:tr>
      <w:tr w:rsidR="00F77748" w14:paraId="0E984D96" w14:textId="77777777" w:rsidTr="00717AB7">
        <w:tc>
          <w:tcPr>
            <w:cnfStyle w:val="001000000000" w:firstRow="0" w:lastRow="0" w:firstColumn="1" w:lastColumn="0" w:oddVBand="0" w:evenVBand="0" w:oddHBand="0" w:evenHBand="0" w:firstRowFirstColumn="0" w:firstRowLastColumn="0" w:lastRowFirstColumn="0" w:lastRowLastColumn="0"/>
            <w:tcW w:w="2631" w:type="dxa"/>
          </w:tcPr>
          <w:p w14:paraId="0D2BFAC8" w14:textId="64F62662" w:rsidR="00F77748" w:rsidRDefault="00F77748" w:rsidP="006300E7">
            <w:pPr>
              <w:spacing w:line="480" w:lineRule="auto"/>
              <w:jc w:val="both"/>
              <w:rPr>
                <w:sz w:val="24"/>
                <w:szCs w:val="24"/>
              </w:rPr>
            </w:pPr>
            <w:r>
              <w:rPr>
                <w:sz w:val="24"/>
                <w:szCs w:val="24"/>
              </w:rPr>
              <w:t>Gastrointestinal</w:t>
            </w:r>
          </w:p>
        </w:tc>
        <w:tc>
          <w:tcPr>
            <w:tcW w:w="2238" w:type="dxa"/>
          </w:tcPr>
          <w:p w14:paraId="6B40767D" w14:textId="3F160584" w:rsidR="00F77748" w:rsidRDefault="00F77748" w:rsidP="006300E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1.27 (1.22-1.31)</w:t>
            </w:r>
          </w:p>
        </w:tc>
        <w:tc>
          <w:tcPr>
            <w:tcW w:w="2258" w:type="dxa"/>
          </w:tcPr>
          <w:p w14:paraId="230E7D37" w14:textId="60B24C6A" w:rsidR="00F77748" w:rsidRDefault="00717AB7" w:rsidP="006300E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1.72 (0.86-3.45)</w:t>
            </w:r>
          </w:p>
        </w:tc>
        <w:tc>
          <w:tcPr>
            <w:tcW w:w="2233" w:type="dxa"/>
          </w:tcPr>
          <w:p w14:paraId="7DE67EB8" w14:textId="49D5711E" w:rsidR="00F77748" w:rsidRDefault="00717AB7" w:rsidP="006300E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0.86 (0.62-1.20)</w:t>
            </w:r>
          </w:p>
        </w:tc>
      </w:tr>
      <w:tr w:rsidR="00F77748" w14:paraId="1C16E72B" w14:textId="77777777" w:rsidTr="00717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03E526F9" w14:textId="3CEB0907" w:rsidR="00F77748" w:rsidRDefault="00F77748" w:rsidP="006300E7">
            <w:pPr>
              <w:spacing w:line="480" w:lineRule="auto"/>
              <w:jc w:val="both"/>
              <w:rPr>
                <w:sz w:val="24"/>
                <w:szCs w:val="24"/>
              </w:rPr>
            </w:pPr>
            <w:r>
              <w:rPr>
                <w:sz w:val="24"/>
                <w:szCs w:val="24"/>
              </w:rPr>
              <w:t>Urinary Tract</w:t>
            </w:r>
          </w:p>
        </w:tc>
        <w:tc>
          <w:tcPr>
            <w:tcW w:w="2238" w:type="dxa"/>
          </w:tcPr>
          <w:p w14:paraId="0914C9C5" w14:textId="0970819C" w:rsidR="00F77748" w:rsidRDefault="00F77748"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1.08 (1.04-1.11)</w:t>
            </w:r>
          </w:p>
        </w:tc>
        <w:tc>
          <w:tcPr>
            <w:tcW w:w="2258" w:type="dxa"/>
          </w:tcPr>
          <w:p w14:paraId="7D8D3D97" w14:textId="4F7619F9"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1.62 (0.91-2.85)</w:t>
            </w:r>
          </w:p>
        </w:tc>
        <w:tc>
          <w:tcPr>
            <w:tcW w:w="2233" w:type="dxa"/>
          </w:tcPr>
          <w:p w14:paraId="2E80BE72" w14:textId="5E9BD33F"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1.58 (1.22-2.05)</w:t>
            </w:r>
          </w:p>
        </w:tc>
      </w:tr>
      <w:tr w:rsidR="00F77748" w14:paraId="42CD9BC5" w14:textId="77777777" w:rsidTr="00717AB7">
        <w:tc>
          <w:tcPr>
            <w:cnfStyle w:val="001000000000" w:firstRow="0" w:lastRow="0" w:firstColumn="1" w:lastColumn="0" w:oddVBand="0" w:evenVBand="0" w:oddHBand="0" w:evenHBand="0" w:firstRowFirstColumn="0" w:firstRowLastColumn="0" w:lastRowFirstColumn="0" w:lastRowLastColumn="0"/>
            <w:tcW w:w="2631" w:type="dxa"/>
          </w:tcPr>
          <w:p w14:paraId="35AF2899" w14:textId="0CA2B1D1" w:rsidR="00F77748" w:rsidRDefault="00F77748" w:rsidP="006300E7">
            <w:pPr>
              <w:spacing w:line="480" w:lineRule="auto"/>
              <w:jc w:val="both"/>
              <w:rPr>
                <w:sz w:val="24"/>
                <w:szCs w:val="24"/>
              </w:rPr>
            </w:pPr>
            <w:r>
              <w:rPr>
                <w:sz w:val="24"/>
                <w:szCs w:val="24"/>
              </w:rPr>
              <w:t>Skin/Soft Tissue</w:t>
            </w:r>
          </w:p>
        </w:tc>
        <w:tc>
          <w:tcPr>
            <w:tcW w:w="2238" w:type="dxa"/>
          </w:tcPr>
          <w:p w14:paraId="1BB55678" w14:textId="4CA8CE64" w:rsidR="00F77748" w:rsidRDefault="00717AB7" w:rsidP="006300E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1.14 (1.09-1.20)</w:t>
            </w:r>
          </w:p>
        </w:tc>
        <w:tc>
          <w:tcPr>
            <w:tcW w:w="2258" w:type="dxa"/>
          </w:tcPr>
          <w:p w14:paraId="16C2E7C1" w14:textId="2D131798" w:rsidR="00F77748" w:rsidRDefault="00717AB7" w:rsidP="006300E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1.39 (0.50-3.87)</w:t>
            </w:r>
          </w:p>
        </w:tc>
        <w:tc>
          <w:tcPr>
            <w:tcW w:w="2233" w:type="dxa"/>
          </w:tcPr>
          <w:p w14:paraId="4E418664" w14:textId="3CC73B6C" w:rsidR="00F77748" w:rsidRDefault="00717AB7" w:rsidP="006300E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1.83 (1.24-2.71)</w:t>
            </w:r>
          </w:p>
        </w:tc>
      </w:tr>
      <w:tr w:rsidR="00F77748" w14:paraId="78BD3857" w14:textId="77777777" w:rsidTr="00717A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64DDAE8E" w14:textId="6B4ED8C4" w:rsidR="00F77748" w:rsidRDefault="00F77748" w:rsidP="006300E7">
            <w:pPr>
              <w:spacing w:line="480" w:lineRule="auto"/>
              <w:jc w:val="both"/>
              <w:rPr>
                <w:sz w:val="24"/>
                <w:szCs w:val="24"/>
              </w:rPr>
            </w:pPr>
            <w:r>
              <w:rPr>
                <w:sz w:val="24"/>
                <w:szCs w:val="24"/>
              </w:rPr>
              <w:t>Bactermia/Fungemia</w:t>
            </w:r>
          </w:p>
        </w:tc>
        <w:tc>
          <w:tcPr>
            <w:tcW w:w="2238" w:type="dxa"/>
          </w:tcPr>
          <w:p w14:paraId="277E5D32" w14:textId="7B9C4E74"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1.02 (0.85-1.23)</w:t>
            </w:r>
          </w:p>
        </w:tc>
        <w:tc>
          <w:tcPr>
            <w:tcW w:w="2258" w:type="dxa"/>
          </w:tcPr>
          <w:p w14:paraId="35CA1850" w14:textId="1FA0DC0C"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0.05 (0.00-126000)</w:t>
            </w:r>
          </w:p>
        </w:tc>
        <w:tc>
          <w:tcPr>
            <w:tcW w:w="2233" w:type="dxa"/>
          </w:tcPr>
          <w:p w14:paraId="2513840A" w14:textId="65FF2C0C" w:rsidR="00F77748" w:rsidRDefault="00717AB7" w:rsidP="006300E7">
            <w:pPr>
              <w:spacing w:line="48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1.79 (0.55-5.77)</w:t>
            </w:r>
          </w:p>
        </w:tc>
      </w:tr>
      <w:tr w:rsidR="00717AB7" w14:paraId="15328FC6" w14:textId="77777777" w:rsidTr="00717AB7">
        <w:tc>
          <w:tcPr>
            <w:cnfStyle w:val="001000000000" w:firstRow="0" w:lastRow="0" w:firstColumn="1" w:lastColumn="0" w:oddVBand="0" w:evenVBand="0" w:oddHBand="0" w:evenHBand="0" w:firstRowFirstColumn="0" w:firstRowLastColumn="0" w:lastRowFirstColumn="0" w:lastRowLastColumn="0"/>
            <w:tcW w:w="2631" w:type="dxa"/>
          </w:tcPr>
          <w:p w14:paraId="60F60B9E" w14:textId="783BFBB7" w:rsidR="00717AB7" w:rsidRDefault="00717AB7" w:rsidP="00717AB7">
            <w:pPr>
              <w:spacing w:line="480" w:lineRule="auto"/>
              <w:jc w:val="both"/>
              <w:rPr>
                <w:sz w:val="24"/>
                <w:szCs w:val="24"/>
              </w:rPr>
            </w:pPr>
            <w:r>
              <w:rPr>
                <w:sz w:val="24"/>
                <w:szCs w:val="24"/>
              </w:rPr>
              <w:t>Other</w:t>
            </w:r>
          </w:p>
        </w:tc>
        <w:tc>
          <w:tcPr>
            <w:tcW w:w="2238" w:type="dxa"/>
          </w:tcPr>
          <w:p w14:paraId="5A288B08" w14:textId="4DDB401D" w:rsidR="00717AB7" w:rsidRDefault="00717AB7" w:rsidP="00717AB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1.14 (1.10-1.18)</w:t>
            </w:r>
          </w:p>
        </w:tc>
        <w:tc>
          <w:tcPr>
            <w:tcW w:w="2258" w:type="dxa"/>
          </w:tcPr>
          <w:p w14:paraId="606A9B8E" w14:textId="478E0FD8" w:rsidR="00717AB7" w:rsidRDefault="00717AB7" w:rsidP="00717AB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1.67 (1.01-2.77)</w:t>
            </w:r>
          </w:p>
        </w:tc>
        <w:tc>
          <w:tcPr>
            <w:tcW w:w="2233" w:type="dxa"/>
          </w:tcPr>
          <w:p w14:paraId="74DE74C5" w14:textId="1C90FFC3" w:rsidR="00717AB7" w:rsidRDefault="00717AB7" w:rsidP="00717AB7">
            <w:pPr>
              <w:spacing w:line="480" w:lineRule="auto"/>
              <w:jc w:val="both"/>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0.94 (0.81-1.09)</w:t>
            </w:r>
          </w:p>
        </w:tc>
      </w:tr>
    </w:tbl>
    <w:p w14:paraId="7C916379" w14:textId="630E3EF5" w:rsidR="00B705D7" w:rsidRDefault="00717AB7" w:rsidP="006300E7">
      <w:pPr>
        <w:spacing w:after="0" w:line="480" w:lineRule="auto"/>
        <w:jc w:val="both"/>
        <w:rPr>
          <w:sz w:val="24"/>
          <w:szCs w:val="24"/>
        </w:rPr>
      </w:pPr>
      <w:r>
        <w:rPr>
          <w:sz w:val="24"/>
          <w:szCs w:val="24"/>
        </w:rPr>
        <w:t xml:space="preserve">Data presented as adjusted risk ratio (95% CI) for antibiotic days, adjusted odds ratio (95% CI) for </w:t>
      </w:r>
      <w:r>
        <w:rPr>
          <w:i/>
          <w:sz w:val="24"/>
          <w:szCs w:val="24"/>
        </w:rPr>
        <w:t>Clostridium difficile</w:t>
      </w:r>
      <w:r w:rsidR="000C2C5B">
        <w:rPr>
          <w:sz w:val="24"/>
          <w:szCs w:val="24"/>
        </w:rPr>
        <w:t xml:space="preserve"> and</w:t>
      </w:r>
      <w:r>
        <w:rPr>
          <w:sz w:val="24"/>
          <w:szCs w:val="24"/>
        </w:rPr>
        <w:t xml:space="preserve"> hazard ratio (95% CI) for mortality. The ‘Other’ category refers to patients without an identified site of infection per our ICD-9 code algorithm.</w:t>
      </w:r>
      <w:bookmarkStart w:id="0" w:name="_GoBack"/>
      <w:bookmarkEnd w:id="0"/>
    </w:p>
    <w:p w14:paraId="0C398812" w14:textId="77777777" w:rsidR="006572D2" w:rsidRDefault="006572D2">
      <w:pPr>
        <w:rPr>
          <w:sz w:val="24"/>
          <w:szCs w:val="24"/>
        </w:rPr>
      </w:pPr>
      <w:r>
        <w:rPr>
          <w:sz w:val="24"/>
          <w:szCs w:val="24"/>
        </w:rPr>
        <w:br w:type="page"/>
      </w:r>
    </w:p>
    <w:p w14:paraId="579FC705" w14:textId="7BCEE0EE" w:rsidR="006572D2" w:rsidRDefault="006572D2" w:rsidP="003B3A8F">
      <w:pPr>
        <w:spacing w:after="0" w:line="480" w:lineRule="auto"/>
        <w:ind w:left="360"/>
        <w:jc w:val="both"/>
        <w:rPr>
          <w:sz w:val="24"/>
          <w:szCs w:val="24"/>
        </w:rPr>
      </w:pPr>
      <w:r>
        <w:rPr>
          <w:b/>
          <w:sz w:val="24"/>
          <w:szCs w:val="24"/>
        </w:rPr>
        <w:lastRenderedPageBreak/>
        <w:t>Supplemental Figure 1</w:t>
      </w:r>
    </w:p>
    <w:p w14:paraId="4A97FEF9" w14:textId="6961D457" w:rsidR="006572D2" w:rsidRPr="003B3A8F" w:rsidRDefault="004766D6" w:rsidP="003B3A8F">
      <w:pPr>
        <w:spacing w:after="0" w:line="480" w:lineRule="auto"/>
        <w:ind w:left="360"/>
        <w:jc w:val="both"/>
        <w:rPr>
          <w:sz w:val="24"/>
          <w:szCs w:val="24"/>
        </w:rPr>
      </w:pPr>
      <w:r>
        <w:rPr>
          <w:rFonts w:ascii="Arial" w:hAnsi="Arial" w:cs="Arial"/>
          <w:noProof/>
          <w:color w:val="000000"/>
          <w:sz w:val="20"/>
          <w:szCs w:val="20"/>
        </w:rPr>
        <w:drawing>
          <wp:inline distT="0" distB="0" distL="0" distR="0" wp14:anchorId="691C0E08" wp14:editId="570C63CD">
            <wp:extent cx="5943600" cy="4457700"/>
            <wp:effectExtent l="0" t="0" r="0" b="0"/>
            <wp:docPr id="1" name="Picture 1" descr="Histogram for pctantbiotic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gram for pctantbiotic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sectPr w:rsidR="006572D2" w:rsidRPr="003B3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87ECB"/>
    <w:multiLevelType w:val="hybridMultilevel"/>
    <w:tmpl w:val="BDCE1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A8F"/>
    <w:rsid w:val="000048F3"/>
    <w:rsid w:val="00024333"/>
    <w:rsid w:val="00061060"/>
    <w:rsid w:val="000C2C5B"/>
    <w:rsid w:val="0011715A"/>
    <w:rsid w:val="00183785"/>
    <w:rsid w:val="00256A61"/>
    <w:rsid w:val="00281CB5"/>
    <w:rsid w:val="00291796"/>
    <w:rsid w:val="002D7CED"/>
    <w:rsid w:val="0030021D"/>
    <w:rsid w:val="003668F1"/>
    <w:rsid w:val="0037188B"/>
    <w:rsid w:val="003718E0"/>
    <w:rsid w:val="003B3A8F"/>
    <w:rsid w:val="004749AE"/>
    <w:rsid w:val="004766D6"/>
    <w:rsid w:val="004A08B8"/>
    <w:rsid w:val="004D1578"/>
    <w:rsid w:val="004E55DA"/>
    <w:rsid w:val="00517625"/>
    <w:rsid w:val="005223EF"/>
    <w:rsid w:val="0052547D"/>
    <w:rsid w:val="00614D5C"/>
    <w:rsid w:val="006300E7"/>
    <w:rsid w:val="006572D2"/>
    <w:rsid w:val="00695954"/>
    <w:rsid w:val="006B01A7"/>
    <w:rsid w:val="006F3E47"/>
    <w:rsid w:val="00717AB7"/>
    <w:rsid w:val="00724CAB"/>
    <w:rsid w:val="00732642"/>
    <w:rsid w:val="007839AD"/>
    <w:rsid w:val="007C3396"/>
    <w:rsid w:val="007C4C1F"/>
    <w:rsid w:val="007E1C6C"/>
    <w:rsid w:val="00801959"/>
    <w:rsid w:val="00834F0C"/>
    <w:rsid w:val="00837D20"/>
    <w:rsid w:val="008C12A6"/>
    <w:rsid w:val="008D4D00"/>
    <w:rsid w:val="008E24EB"/>
    <w:rsid w:val="0093177C"/>
    <w:rsid w:val="00A11014"/>
    <w:rsid w:val="00AD4B36"/>
    <w:rsid w:val="00AE0787"/>
    <w:rsid w:val="00AF0480"/>
    <w:rsid w:val="00B0683C"/>
    <w:rsid w:val="00B705D7"/>
    <w:rsid w:val="00B92E6F"/>
    <w:rsid w:val="00BB76F4"/>
    <w:rsid w:val="00C53B33"/>
    <w:rsid w:val="00C96449"/>
    <w:rsid w:val="00CA570D"/>
    <w:rsid w:val="00CB2D62"/>
    <w:rsid w:val="00CD5C8B"/>
    <w:rsid w:val="00CE44F0"/>
    <w:rsid w:val="00D345AE"/>
    <w:rsid w:val="00D9505B"/>
    <w:rsid w:val="00DC321C"/>
    <w:rsid w:val="00DE2C8B"/>
    <w:rsid w:val="00E02C63"/>
    <w:rsid w:val="00E0353C"/>
    <w:rsid w:val="00E6782F"/>
    <w:rsid w:val="00E922D4"/>
    <w:rsid w:val="00EA231F"/>
    <w:rsid w:val="00EB0A91"/>
    <w:rsid w:val="00F02A4F"/>
    <w:rsid w:val="00F371DF"/>
    <w:rsid w:val="00F41148"/>
    <w:rsid w:val="00F42682"/>
    <w:rsid w:val="00F43D55"/>
    <w:rsid w:val="00F77748"/>
    <w:rsid w:val="00FC0326"/>
    <w:rsid w:val="00FC08DD"/>
    <w:rsid w:val="00FC3EB9"/>
    <w:rsid w:val="00FE5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1367"/>
  <w15:chartTrackingRefBased/>
  <w15:docId w15:val="{9468E45B-DEB8-46E7-AC86-45D789361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B3A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A8F"/>
    <w:pPr>
      <w:ind w:left="720"/>
      <w:contextualSpacing/>
    </w:pPr>
  </w:style>
  <w:style w:type="table" w:styleId="TableGrid">
    <w:name w:val="Table Grid"/>
    <w:basedOn w:val="TableNormal"/>
    <w:uiPriority w:val="39"/>
    <w:rsid w:val="003B3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51762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CommentReference">
    <w:name w:val="annotation reference"/>
    <w:basedOn w:val="DefaultParagraphFont"/>
    <w:uiPriority w:val="99"/>
    <w:semiHidden/>
    <w:unhideWhenUsed/>
    <w:rsid w:val="0011715A"/>
    <w:rPr>
      <w:sz w:val="16"/>
      <w:szCs w:val="16"/>
    </w:rPr>
  </w:style>
  <w:style w:type="paragraph" w:styleId="CommentText">
    <w:name w:val="annotation text"/>
    <w:basedOn w:val="Normal"/>
    <w:link w:val="CommentTextChar"/>
    <w:uiPriority w:val="99"/>
    <w:unhideWhenUsed/>
    <w:rsid w:val="0011715A"/>
    <w:pPr>
      <w:spacing w:line="240" w:lineRule="auto"/>
    </w:pPr>
    <w:rPr>
      <w:sz w:val="20"/>
      <w:szCs w:val="20"/>
    </w:rPr>
  </w:style>
  <w:style w:type="character" w:customStyle="1" w:styleId="CommentTextChar">
    <w:name w:val="Comment Text Char"/>
    <w:basedOn w:val="DefaultParagraphFont"/>
    <w:link w:val="CommentText"/>
    <w:uiPriority w:val="99"/>
    <w:rsid w:val="0011715A"/>
    <w:rPr>
      <w:sz w:val="20"/>
      <w:szCs w:val="20"/>
    </w:rPr>
  </w:style>
  <w:style w:type="paragraph" w:styleId="BalloonText">
    <w:name w:val="Balloon Text"/>
    <w:basedOn w:val="Normal"/>
    <w:link w:val="BalloonTextChar"/>
    <w:uiPriority w:val="99"/>
    <w:semiHidden/>
    <w:unhideWhenUsed/>
    <w:rsid w:val="001171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1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1428</TotalTime>
  <Pages>7</Pages>
  <Words>1258</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Chu</dc:creator>
  <cp:keywords/>
  <dc:description/>
  <cp:lastModifiedBy>David Chu</cp:lastModifiedBy>
  <cp:revision>7</cp:revision>
  <dcterms:created xsi:type="dcterms:W3CDTF">2017-02-01T17:37:00Z</dcterms:created>
  <dcterms:modified xsi:type="dcterms:W3CDTF">2017-02-07T18:57:00Z</dcterms:modified>
</cp:coreProperties>
</file>