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C3B" w:rsidRPr="00D5439E" w:rsidRDefault="00A73C3B" w:rsidP="00A73C3B">
      <w:pPr>
        <w:spacing w:after="0" w:line="480" w:lineRule="auto"/>
        <w:rPr>
          <w:rFonts w:cs="Times New Roman"/>
          <w:sz w:val="20"/>
          <w:szCs w:val="20"/>
          <w:lang w:val="en-GB"/>
        </w:rPr>
      </w:pPr>
      <w:r w:rsidRPr="00D5439E">
        <w:rPr>
          <w:rFonts w:cs="Times New Roman"/>
          <w:b/>
          <w:sz w:val="20"/>
          <w:szCs w:val="20"/>
          <w:lang w:val="en-GB"/>
        </w:rPr>
        <w:t>Supplementary Table 1</w:t>
      </w:r>
      <w:r w:rsidRPr="00D5439E">
        <w:rPr>
          <w:rFonts w:cs="Times New Roman"/>
          <w:sz w:val="20"/>
          <w:szCs w:val="20"/>
          <w:lang w:val="en-GB"/>
        </w:rPr>
        <w:t>: Specific patient population, inclusion criteria, exclusion criteria, study and microbiological procedures for each trial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221"/>
        <w:gridCol w:w="1406"/>
        <w:gridCol w:w="1910"/>
        <w:gridCol w:w="1910"/>
        <w:gridCol w:w="1910"/>
        <w:gridCol w:w="1910"/>
      </w:tblGrid>
      <w:tr w:rsidR="00A73C3B" w:rsidRPr="00D5439E" w:rsidTr="00A73C3B">
        <w:trPr>
          <w:trHeight w:hRule="exact" w:val="227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Characteristic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Trial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4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183833"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  <w:t>Enrolment period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Jun 05 - Sep 05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May 06 - Aug 08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Jul 08 - Aug 11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Sep 11 - Jul 14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183833"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  <w:t>Trial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Open label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1:1 randomization, no stratification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183833"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  <w:t>Recruiting Hospital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Patan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Civil Services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No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No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No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183833"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  <w:t>Inclusion criteria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Clinically suspected enteric fever: fever for &gt;3 days without focus of infection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Age (years)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2-65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&gt;2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&gt;2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2-45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Weight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-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&gt;10kg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&gt;10kg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-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Pre-treated</w:t>
            </w: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 xml:space="preserve"> with the following as long as they did not show evidence of clinical response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1) AMP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1) AMX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1) AMX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1) AMX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2) SXT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2) SXT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2) SXT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2) SXT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3) CHL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3) CHL</w:t>
            </w:r>
          </w:p>
        </w:tc>
      </w:tr>
      <w:tr w:rsidR="00A73C3B" w:rsidRPr="00D5439E" w:rsidTr="00A73C3B">
        <w:trPr>
          <w:trHeight w:hRule="exact" w:val="59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Residence location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2.5km radius from hospital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20km</w:t>
            </w:r>
            <w:r w:rsidRPr="00D5439E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val="en-GB"/>
              </w:rPr>
              <w:t>2</w:t>
            </w: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 xml:space="preserve"> urban Lalitpur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20km</w:t>
            </w:r>
            <w:r w:rsidRPr="00D5439E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  <w:lang w:val="en-GB"/>
              </w:rPr>
              <w:t>2</w:t>
            </w: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 xml:space="preserve"> urban Lalitpur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-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183833"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  <w:t>Exclusion criteria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Pregnant or lactating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Diabetes mellitus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No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No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No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Severe infection: obtundation, shock, clinical jaundice, active gastrointestinal bleed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 xml:space="preserve">History of hypersensitivity to </w:t>
            </w: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either trial drug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Given the following in the previous week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1) 3rd generation Cephalosporin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1) 3rd generation Cephalosporin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1) 3rd generation Cephalosporin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1) 3rd generation Cephalosporin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2) Fluoroquinolone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2) Quinolone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2) Fluoroquinolone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2) Fluoroquinolone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3) Macrolide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3) Macrolide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3) Macrolide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3) Macrolide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4) CHL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4) CHL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183833">
              <w:rPr>
                <w:rFonts w:eastAsia="Times New Roman" w:cs="Times New Roman"/>
                <w:b/>
                <w:color w:val="000000"/>
                <w:sz w:val="20"/>
                <w:szCs w:val="20"/>
                <w:lang w:val="en-GB"/>
              </w:rPr>
              <w:t>Procedures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CMA visit twice per day for at least X days or until the patient is asymptomatic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10 days in GAT arm, 14 days in CHL arm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10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 xml:space="preserve">Blood draw </w:t>
            </w: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volume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5-8mL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5-8mL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3mL for &lt;12 years, 7mL for ≥12 years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3mL for &lt;14 years, 8mL for ≥14 years</w:t>
            </w:r>
          </w:p>
        </w:tc>
      </w:tr>
      <w:tr w:rsidR="00A73C3B" w:rsidRPr="00D5439E" w:rsidTr="00A73C3B">
        <w:trPr>
          <w:trHeight w:hRule="exact" w:val="227"/>
        </w:trPr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Blood draw timing: day 1 &amp; day 8 if culture positive on day 1 or suggestive relapse</w:t>
            </w:r>
          </w:p>
        </w:tc>
        <w:tc>
          <w:tcPr>
            <w:tcW w:w="229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  <w:tc>
          <w:tcPr>
            <w:tcW w:w="229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Yes</w:t>
            </w:r>
          </w:p>
        </w:tc>
      </w:tr>
      <w:tr w:rsidR="00A73C3B" w:rsidRPr="00D5439E" w:rsidTr="00A73C3B">
        <w:trPr>
          <w:trHeight w:hRule="exact" w:val="601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3C3B" w:rsidRPr="00183833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3C3B" w:rsidRPr="00C40E98" w:rsidRDefault="00A73C3B" w:rsidP="00A73C3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C40E98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 xml:space="preserve">Patient attendance at hospital for follow up on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Day 1, 10 &amp;</w:t>
            </w:r>
          </w:p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month 1, 3, 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Day 1, 8, 15 &amp;</w:t>
            </w:r>
          </w:p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month 1, 3, 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Day 1, 8, 15 &amp;</w:t>
            </w:r>
          </w:p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month 1, 3, 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Day 1, 8, 15 &amp;</w:t>
            </w:r>
          </w:p>
          <w:p w:rsidR="00A73C3B" w:rsidRPr="00D5439E" w:rsidRDefault="00A73C3B" w:rsidP="00A73C3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</w:pPr>
            <w:r w:rsidRPr="00D5439E">
              <w:rPr>
                <w:rFonts w:eastAsia="Times New Roman" w:cs="Times New Roman"/>
                <w:color w:val="000000"/>
                <w:sz w:val="20"/>
                <w:szCs w:val="20"/>
                <w:lang w:val="en-GB"/>
              </w:rPr>
              <w:t>month 1, 3, 6</w:t>
            </w:r>
          </w:p>
        </w:tc>
      </w:tr>
    </w:tbl>
    <w:p w:rsidR="00A73C3B" w:rsidRPr="00183833" w:rsidRDefault="00A73C3B" w:rsidP="00A73C3B">
      <w:pPr>
        <w:spacing w:after="0" w:line="240" w:lineRule="auto"/>
        <w:rPr>
          <w:rFonts w:cs="Times New Roman"/>
          <w:sz w:val="20"/>
          <w:szCs w:val="20"/>
          <w:lang w:val="en-GB"/>
        </w:rPr>
      </w:pPr>
    </w:p>
    <w:p w:rsidR="00A73C3B" w:rsidRDefault="00A73C3B" w:rsidP="00AB0251">
      <w:pPr>
        <w:spacing w:after="0" w:line="240" w:lineRule="auto"/>
      </w:pPr>
      <w:r w:rsidRPr="00D5439E">
        <w:rPr>
          <w:rFonts w:cs="Times New Roman"/>
          <w:sz w:val="20"/>
          <w:szCs w:val="20"/>
          <w:lang w:val="en-GB"/>
        </w:rPr>
        <w:t xml:space="preserve">Trials: 1 – gatifloxacin/cefixime, 2 – gatifloxacin/chloramphenicol, 3 – gatifloxacin/ofloxacin, 4 – gatifloxacin/ceftriaxone; AMP: ampicillin; AMX: amoxicillin; CHL: chloramphenicol; GAT: gatifloxacin; SXT: trimethoprim-sulfamethoxazole; CMA: community medical auxiliary </w:t>
      </w:r>
      <w:bookmarkStart w:id="0" w:name="_GoBack"/>
      <w:bookmarkEnd w:id="0"/>
    </w:p>
    <w:sectPr w:rsidR="00A73C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59B"/>
    <w:rsid w:val="003D1B47"/>
    <w:rsid w:val="008B659B"/>
    <w:rsid w:val="00A73C3B"/>
    <w:rsid w:val="00AB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9D4C17-298B-407C-ABFF-C5DF0194E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C3B"/>
    <w:pPr>
      <w:spacing w:after="200" w:line="276" w:lineRule="auto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Buddha</dc:creator>
  <cp:keywords/>
  <dc:description/>
  <cp:lastModifiedBy>Buddha</cp:lastModifiedBy>
  <cp:revision>2</cp:revision>
  <dcterms:created xsi:type="dcterms:W3CDTF">2017-02-06T01:56:00Z</dcterms:created>
  <dcterms:modified xsi:type="dcterms:W3CDTF">2017-02-06T02:27:00Z</dcterms:modified>
</cp:coreProperties>
</file>